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CE9FE" w14:textId="77777777" w:rsidR="002869DD" w:rsidRPr="000B4F9A" w:rsidRDefault="002869DD" w:rsidP="006E7607">
      <w:pPr>
        <w:rPr>
          <w:b/>
          <w:bCs/>
        </w:rPr>
      </w:pPr>
      <w:r w:rsidRPr="000B4F9A">
        <w:rPr>
          <w:noProof/>
          <w:lang w:val="en-NZ" w:eastAsia="en-NZ"/>
        </w:rPr>
        <w:drawing>
          <wp:inline distT="0" distB="0" distL="0" distR="0" wp14:anchorId="410DDC86" wp14:editId="4BD1CD08">
            <wp:extent cx="2991917" cy="493616"/>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39519" cy="501470"/>
                    </a:xfrm>
                    <a:prstGeom prst="rect">
                      <a:avLst/>
                    </a:prstGeom>
                    <a:noFill/>
                    <a:ln>
                      <a:noFill/>
                    </a:ln>
                  </pic:spPr>
                </pic:pic>
              </a:graphicData>
            </a:graphic>
          </wp:inline>
        </w:drawing>
      </w:r>
    </w:p>
    <w:p w14:paraId="34797976" w14:textId="77777777" w:rsidR="002869DD" w:rsidRPr="000B4F9A" w:rsidRDefault="002869DD" w:rsidP="006E7607"/>
    <w:p w14:paraId="33356295" w14:textId="77777777" w:rsidR="002869DD" w:rsidRPr="003557B7" w:rsidRDefault="002869DD" w:rsidP="006E7607">
      <w:pPr>
        <w:rPr>
          <w:rFonts w:asciiTheme="minorHAnsi" w:hAnsiTheme="minorHAnsi" w:cstheme="minorHAnsi"/>
        </w:rPr>
      </w:pPr>
      <w:r w:rsidRPr="003557B7">
        <w:rPr>
          <w:rFonts w:asciiTheme="minorHAnsi" w:hAnsiTheme="minorHAnsi" w:cstheme="minorHAnsi"/>
        </w:rPr>
        <w:t>15 November 2019</w:t>
      </w:r>
    </w:p>
    <w:p w14:paraId="2213C93E" w14:textId="77777777" w:rsidR="002869DD" w:rsidRPr="003557B7" w:rsidRDefault="002869DD" w:rsidP="006E7607">
      <w:pPr>
        <w:rPr>
          <w:rFonts w:asciiTheme="minorHAnsi" w:hAnsiTheme="minorHAnsi" w:cstheme="minorHAnsi"/>
        </w:rPr>
      </w:pPr>
    </w:p>
    <w:p w14:paraId="6C1C2491" w14:textId="77777777" w:rsidR="002869DD" w:rsidRPr="003557B7" w:rsidRDefault="002869DD" w:rsidP="006E7607">
      <w:pPr>
        <w:rPr>
          <w:rFonts w:asciiTheme="minorHAnsi" w:hAnsiTheme="minorHAnsi" w:cstheme="minorHAnsi"/>
        </w:rPr>
      </w:pPr>
      <w:r w:rsidRPr="003557B7">
        <w:rPr>
          <w:rFonts w:asciiTheme="minorHAnsi" w:hAnsiTheme="minorHAnsi" w:cstheme="minorHAnsi"/>
          <w:b/>
          <w:bCs/>
        </w:rPr>
        <w:t>To:</w:t>
      </w:r>
      <w:r w:rsidRPr="003557B7">
        <w:rPr>
          <w:rFonts w:asciiTheme="minorHAnsi" w:hAnsiTheme="minorHAnsi" w:cstheme="minorHAnsi"/>
        </w:rPr>
        <w:t xml:space="preserve"> </w:t>
      </w:r>
      <w:r w:rsidRPr="003557B7">
        <w:rPr>
          <w:rFonts w:asciiTheme="minorHAnsi" w:hAnsiTheme="minorHAnsi" w:cstheme="minorHAnsi"/>
        </w:rPr>
        <w:br/>
        <w:t xml:space="preserve">Interim Climate Change Committee </w:t>
      </w:r>
      <w:r w:rsidRPr="003557B7">
        <w:rPr>
          <w:rFonts w:asciiTheme="minorHAnsi" w:hAnsiTheme="minorHAnsi" w:cstheme="minorHAnsi"/>
        </w:rPr>
        <w:br/>
        <w:t xml:space="preserve">c/o Ministry for the Environment, </w:t>
      </w:r>
    </w:p>
    <w:p w14:paraId="0EB3AEBD" w14:textId="77777777" w:rsidR="002869DD" w:rsidRPr="003557B7" w:rsidRDefault="002869DD" w:rsidP="006E7607">
      <w:pPr>
        <w:rPr>
          <w:rFonts w:asciiTheme="minorHAnsi" w:hAnsiTheme="minorHAnsi" w:cstheme="minorHAnsi"/>
        </w:rPr>
      </w:pPr>
      <w:r w:rsidRPr="003557B7">
        <w:rPr>
          <w:rFonts w:asciiTheme="minorHAnsi" w:hAnsiTheme="minorHAnsi" w:cstheme="minorHAnsi"/>
        </w:rPr>
        <w:t xml:space="preserve">PO Box 10362, </w:t>
      </w:r>
      <w:r w:rsidRPr="003557B7">
        <w:rPr>
          <w:rFonts w:asciiTheme="minorHAnsi" w:hAnsiTheme="minorHAnsi" w:cstheme="minorHAnsi"/>
        </w:rPr>
        <w:br/>
        <w:t>Wellington 6143</w:t>
      </w:r>
    </w:p>
    <w:p w14:paraId="1E43370B" w14:textId="77777777" w:rsidR="002869DD" w:rsidRPr="000B4F9A" w:rsidRDefault="002869DD" w:rsidP="006E7607"/>
    <w:p w14:paraId="13A3652F" w14:textId="77777777" w:rsidR="002869DD" w:rsidRPr="003557B7" w:rsidRDefault="002869DD" w:rsidP="006E7607">
      <w:pPr>
        <w:rPr>
          <w:rFonts w:asciiTheme="minorHAnsi" w:hAnsiTheme="minorHAnsi" w:cstheme="minorHAnsi"/>
        </w:rPr>
      </w:pPr>
      <w:r w:rsidRPr="003557B7">
        <w:rPr>
          <w:rFonts w:asciiTheme="minorHAnsi" w:hAnsiTheme="minorHAnsi" w:cstheme="minorHAnsi"/>
        </w:rPr>
        <w:t xml:space="preserve">Email: </w:t>
      </w:r>
      <w:hyperlink r:id="rId8" w:history="1">
        <w:r w:rsidRPr="003557B7">
          <w:rPr>
            <w:rStyle w:val="Hyperlink"/>
            <w:rFonts w:asciiTheme="minorHAnsi" w:eastAsiaTheme="majorEastAsia" w:hAnsiTheme="minorHAnsi" w:cstheme="minorHAnsi"/>
            <w:sz w:val="22"/>
            <w:szCs w:val="22"/>
          </w:rPr>
          <w:t>feedback@ICCC.mfe.govt.nz</w:t>
        </w:r>
      </w:hyperlink>
      <w:r w:rsidRPr="003557B7">
        <w:rPr>
          <w:rFonts w:asciiTheme="minorHAnsi" w:hAnsiTheme="minorHAnsi" w:cstheme="minorHAnsi"/>
          <w:sz w:val="22"/>
          <w:szCs w:val="22"/>
        </w:rPr>
        <w:t>.</w:t>
      </w:r>
      <w:r w:rsidRPr="003557B7">
        <w:rPr>
          <w:rFonts w:asciiTheme="minorHAnsi" w:hAnsiTheme="minorHAnsi" w:cstheme="minorHAnsi"/>
        </w:rPr>
        <w:br/>
      </w:r>
    </w:p>
    <w:p w14:paraId="7E6D7AC9" w14:textId="77777777" w:rsidR="002869DD" w:rsidRDefault="002869DD" w:rsidP="006E7607">
      <w:pPr>
        <w:pStyle w:val="Heading1"/>
        <w:rPr>
          <w:b/>
          <w:bCs/>
        </w:rPr>
      </w:pPr>
      <w:r>
        <w:rPr>
          <w:b/>
          <w:bCs/>
        </w:rPr>
        <w:t>Response to Call for evidence on Options available to reduce greenhouse gas emissions over the period 2022-2035</w:t>
      </w:r>
    </w:p>
    <w:p w14:paraId="490C727F" w14:textId="77777777" w:rsidR="002869DD" w:rsidRPr="003557B7" w:rsidRDefault="002869DD" w:rsidP="003557B7">
      <w:pPr>
        <w:rPr>
          <w:lang w:val="en-NZ"/>
        </w:rPr>
      </w:pPr>
    </w:p>
    <w:p w14:paraId="7D91472D" w14:textId="77777777" w:rsidR="002869DD" w:rsidRPr="004B1BE0" w:rsidRDefault="002869DD" w:rsidP="004B1BE0">
      <w:pPr>
        <w:autoSpaceDE w:val="0"/>
        <w:autoSpaceDN w:val="0"/>
        <w:adjustRightInd w:val="0"/>
        <w:rPr>
          <w:rFonts w:ascii="Calibri" w:eastAsiaTheme="minorHAnsi" w:hAnsi="Calibri" w:cs="Calibri"/>
          <w:color w:val="000000"/>
          <w:lang w:val="en-NZ"/>
        </w:rPr>
      </w:pPr>
    </w:p>
    <w:p w14:paraId="49648FC5" w14:textId="77777777" w:rsidR="002869DD" w:rsidRPr="00DC7930" w:rsidRDefault="002869DD" w:rsidP="004B1BE0">
      <w:pPr>
        <w:rPr>
          <w:rFonts w:ascii="Century Gothic" w:hAnsi="Century Gothic"/>
          <w:b/>
          <w:color w:val="000000" w:themeColor="text1"/>
          <w:sz w:val="48"/>
          <w:szCs w:val="48"/>
        </w:rPr>
      </w:pPr>
      <w:r w:rsidRPr="00DC7930">
        <w:rPr>
          <w:rFonts w:ascii="Calibri" w:eastAsiaTheme="minorHAnsi" w:hAnsi="Calibri" w:cs="Calibri"/>
          <w:color w:val="000000"/>
          <w:lang w:val="en-NZ"/>
        </w:rPr>
        <w:t>Ralph Chapman</w:t>
      </w:r>
      <w:r>
        <w:rPr>
          <w:rStyle w:val="FootnoteReference"/>
          <w:rFonts w:ascii="Calibri" w:eastAsiaTheme="minorHAnsi" w:hAnsi="Calibri" w:cs="Calibri"/>
          <w:color w:val="000000"/>
          <w:lang w:val="en-NZ"/>
        </w:rPr>
        <w:footnoteReference w:id="1"/>
      </w:r>
      <w:r w:rsidRPr="00DC7930">
        <w:rPr>
          <w:rFonts w:ascii="Calibri" w:eastAsiaTheme="minorHAnsi" w:hAnsi="Calibri" w:cs="Calibri"/>
          <w:color w:val="000000"/>
          <w:lang w:val="en-NZ"/>
        </w:rPr>
        <w:t xml:space="preserve">, Helen </w:t>
      </w:r>
      <w:proofErr w:type="spellStart"/>
      <w:r w:rsidRPr="00DC7930">
        <w:rPr>
          <w:rFonts w:ascii="Calibri" w:eastAsiaTheme="minorHAnsi" w:hAnsi="Calibri" w:cs="Calibri"/>
          <w:color w:val="000000"/>
          <w:lang w:val="en-NZ"/>
        </w:rPr>
        <w:t>Viggers</w:t>
      </w:r>
      <w:proofErr w:type="spellEnd"/>
      <w:r>
        <w:rPr>
          <w:rStyle w:val="FootnoteReference"/>
          <w:rFonts w:ascii="Calibri" w:eastAsiaTheme="minorHAnsi" w:hAnsi="Calibri" w:cs="Calibri"/>
          <w:color w:val="000000"/>
          <w:lang w:val="en-NZ"/>
        </w:rPr>
        <w:footnoteReference w:id="2"/>
      </w:r>
      <w:r w:rsidRPr="00DC7930">
        <w:rPr>
          <w:rFonts w:ascii="Calibri" w:eastAsiaTheme="minorHAnsi" w:hAnsi="Calibri" w:cs="Calibri"/>
          <w:color w:val="000000"/>
          <w:lang w:val="en-NZ"/>
        </w:rPr>
        <w:t xml:space="preserve">, </w:t>
      </w:r>
      <w:r>
        <w:rPr>
          <w:rFonts w:ascii="Calibri" w:eastAsiaTheme="minorHAnsi" w:hAnsi="Calibri" w:cs="Calibri"/>
          <w:color w:val="000000"/>
          <w:lang w:val="en-NZ"/>
        </w:rPr>
        <w:t xml:space="preserve">and </w:t>
      </w:r>
      <w:r w:rsidRPr="00DC7930">
        <w:rPr>
          <w:rFonts w:ascii="Calibri" w:eastAsiaTheme="minorHAnsi" w:hAnsi="Calibri" w:cs="Calibri"/>
          <w:color w:val="000000"/>
          <w:lang w:val="en-NZ"/>
        </w:rPr>
        <w:t>Philippa Howden-Chapman</w:t>
      </w:r>
      <w:r>
        <w:rPr>
          <w:rStyle w:val="FootnoteReference"/>
          <w:rFonts w:ascii="Calibri" w:eastAsiaTheme="minorHAnsi" w:hAnsi="Calibri" w:cs="Calibri"/>
          <w:color w:val="000000"/>
          <w:lang w:val="en-NZ"/>
        </w:rPr>
        <w:footnoteReference w:id="3"/>
      </w:r>
      <w:r w:rsidRPr="00DC7930">
        <w:rPr>
          <w:rFonts w:ascii="Calibri" w:eastAsiaTheme="minorHAnsi" w:hAnsi="Calibri" w:cs="Calibri"/>
          <w:color w:val="000000"/>
          <w:lang w:val="en-NZ"/>
        </w:rPr>
        <w:t xml:space="preserve">, for the New Zealand Centre for Sustainable Cities </w:t>
      </w:r>
    </w:p>
    <w:p w14:paraId="31EC4D50" w14:textId="77777777" w:rsidR="002869DD" w:rsidRDefault="002869DD" w:rsidP="00437CF6">
      <w:pPr>
        <w:rPr>
          <w:rFonts w:ascii="Century Gothic" w:hAnsi="Century Gothic"/>
          <w:b/>
          <w:color w:val="000000" w:themeColor="text1"/>
          <w:sz w:val="44"/>
          <w:szCs w:val="44"/>
        </w:rPr>
      </w:pPr>
    </w:p>
    <w:p w14:paraId="515EBA3F" w14:textId="77777777" w:rsidR="002869DD" w:rsidRDefault="002869DD" w:rsidP="00437CF6">
      <w:pPr>
        <w:rPr>
          <w:rFonts w:ascii="Century Gothic" w:hAnsi="Century Gothic"/>
          <w:b/>
          <w:color w:val="000000" w:themeColor="text1"/>
          <w:sz w:val="44"/>
          <w:szCs w:val="44"/>
        </w:rPr>
      </w:pPr>
      <w:r w:rsidRPr="003557B7">
        <w:rPr>
          <w:rFonts w:asciiTheme="minorHAnsi" w:hAnsiTheme="minorHAnsi" w:cstheme="minorHAnsi"/>
          <w:b/>
          <w:noProof/>
          <w:color w:val="000000" w:themeColor="text1"/>
          <w:sz w:val="44"/>
          <w:szCs w:val="44"/>
          <w:lang w:val="en-NZ" w:eastAsia="en-NZ"/>
        </w:rPr>
        <w:drawing>
          <wp:anchor distT="0" distB="0" distL="114300" distR="114300" simplePos="0" relativeHeight="251659264" behindDoc="1" locked="0" layoutInCell="1" allowOverlap="1" wp14:anchorId="4AB38944" wp14:editId="64A5DBFA">
            <wp:simplePos x="0" y="0"/>
            <wp:positionH relativeFrom="column">
              <wp:posOffset>4721504</wp:posOffset>
            </wp:positionH>
            <wp:positionV relativeFrom="paragraph">
              <wp:posOffset>8941</wp:posOffset>
            </wp:positionV>
            <wp:extent cx="740588" cy="740588"/>
            <wp:effectExtent l="0" t="0" r="2540" b="2540"/>
            <wp:wrapNone/>
            <wp:docPr id="1" name="Picture 1" descr="C:\Users\jonathana\AppData\Local\Microsoft\Windows\INetCache\Content.Outlook\0M2574CA\ICCC eclip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nathana\AppData\Local\Microsoft\Windows\INetCache\Content.Outlook\0M2574CA\ICCC eclips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0588" cy="74058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1BE7F7" w14:textId="77777777" w:rsidR="002869DD" w:rsidRPr="00715537" w:rsidRDefault="002869DD" w:rsidP="00437CF6">
      <w:pPr>
        <w:rPr>
          <w:rFonts w:ascii="Century Gothic" w:hAnsi="Century Gothic"/>
          <w:b/>
          <w:color w:val="000000" w:themeColor="text1"/>
          <w:sz w:val="44"/>
          <w:szCs w:val="44"/>
        </w:rPr>
      </w:pPr>
      <w:r w:rsidRPr="00715537">
        <w:rPr>
          <w:rFonts w:ascii="Century Gothic" w:hAnsi="Century Gothic"/>
          <w:b/>
          <w:color w:val="000000" w:themeColor="text1"/>
          <w:sz w:val="44"/>
          <w:szCs w:val="44"/>
        </w:rPr>
        <w:t>Call for evidence</w:t>
      </w:r>
    </w:p>
    <w:p w14:paraId="5B9EC9D8" w14:textId="77777777" w:rsidR="002869DD" w:rsidRDefault="002869DD" w:rsidP="003E7D0C">
      <w:pPr>
        <w:pStyle w:val="Body1"/>
        <w:spacing w:before="300" w:after="200" w:line="276" w:lineRule="auto"/>
        <w:rPr>
          <w:rFonts w:ascii="Arial" w:hAnsi="Arial" w:cs="Arial"/>
          <w:sz w:val="22"/>
          <w:szCs w:val="22"/>
        </w:rPr>
      </w:pPr>
      <w:r>
        <w:rPr>
          <w:rFonts w:ascii="Arial" w:hAnsi="Arial" w:cs="Arial"/>
          <w:sz w:val="22"/>
          <w:szCs w:val="22"/>
        </w:rPr>
        <w:t xml:space="preserve">We are calling for evidence on options available to reduce greenhouse gas emissions over the period 2022 to 2035. </w:t>
      </w:r>
    </w:p>
    <w:p w14:paraId="75B23882" w14:textId="77777777" w:rsidR="002869DD" w:rsidRPr="00BD7B88" w:rsidRDefault="002869DD" w:rsidP="00DB233F">
      <w:pPr>
        <w:pStyle w:val="Body1"/>
        <w:spacing w:after="200" w:line="276" w:lineRule="auto"/>
        <w:rPr>
          <w:rFonts w:ascii="Arial" w:hAnsi="Arial" w:cs="Arial"/>
          <w:b/>
          <w:szCs w:val="24"/>
        </w:rPr>
      </w:pPr>
      <w:r w:rsidRPr="00BD7B88">
        <w:rPr>
          <w:rFonts w:ascii="Arial" w:hAnsi="Arial" w:cs="Arial"/>
          <w:b/>
          <w:szCs w:val="24"/>
        </w:rPr>
        <w:t>Why are we doing this?</w:t>
      </w:r>
    </w:p>
    <w:p w14:paraId="512ED9A6" w14:textId="77777777" w:rsidR="002869DD" w:rsidRPr="00463E0B" w:rsidRDefault="002869DD" w:rsidP="00B948B4">
      <w:pPr>
        <w:pStyle w:val="Body1"/>
        <w:spacing w:before="300" w:after="200" w:line="276" w:lineRule="auto"/>
        <w:rPr>
          <w:rFonts w:ascii="Arial" w:hAnsi="Arial" w:cs="Arial"/>
          <w:sz w:val="22"/>
          <w:szCs w:val="22"/>
        </w:rPr>
      </w:pPr>
      <w:r w:rsidRPr="00463E0B">
        <w:rPr>
          <w:rFonts w:ascii="Arial" w:hAnsi="Arial" w:cs="Arial"/>
          <w:sz w:val="22"/>
          <w:szCs w:val="22"/>
          <w:lang w:val="en-NZ"/>
        </w:rPr>
        <w:t>The Interim Climate Change Committee is the precursor to the proposed Climate Change Commission, expected to be established in late 2019 under the Zero Carbon Bill</w:t>
      </w:r>
      <w:r w:rsidRPr="00463E0B">
        <w:rPr>
          <w:rStyle w:val="FootnoteReference"/>
          <w:rFonts w:ascii="Arial" w:hAnsi="Arial" w:cs="Arial"/>
          <w:sz w:val="22"/>
          <w:szCs w:val="22"/>
          <w:lang w:val="en-NZ"/>
        </w:rPr>
        <w:footnoteReference w:id="4"/>
      </w:r>
      <w:r w:rsidRPr="00463E0B">
        <w:rPr>
          <w:rFonts w:ascii="Arial" w:hAnsi="Arial" w:cs="Arial"/>
          <w:sz w:val="22"/>
          <w:szCs w:val="22"/>
          <w:lang w:val="en-NZ"/>
        </w:rPr>
        <w:t xml:space="preserve">. </w:t>
      </w:r>
      <w:r w:rsidRPr="00463E0B">
        <w:rPr>
          <w:rFonts w:ascii="Arial" w:hAnsi="Arial" w:cs="Arial"/>
          <w:sz w:val="22"/>
          <w:szCs w:val="22"/>
        </w:rPr>
        <w:t>The Bill provides a framework to help New Zealand deliver on the objectives of the Paris Agreement.</w:t>
      </w:r>
    </w:p>
    <w:p w14:paraId="0D608A0D" w14:textId="77777777" w:rsidR="002869DD" w:rsidRDefault="002869DD" w:rsidP="00F451BB">
      <w:pPr>
        <w:pStyle w:val="Body1"/>
        <w:spacing w:before="300" w:after="200" w:line="276" w:lineRule="auto"/>
        <w:rPr>
          <w:rFonts w:ascii="Arial" w:hAnsi="Arial" w:cs="Arial"/>
          <w:sz w:val="22"/>
          <w:szCs w:val="22"/>
          <w:lang w:val="en-NZ"/>
        </w:rPr>
      </w:pPr>
      <w:r>
        <w:rPr>
          <w:rFonts w:ascii="Arial" w:hAnsi="Arial" w:cs="Arial"/>
          <w:sz w:val="22"/>
          <w:szCs w:val="22"/>
          <w:lang w:val="en-NZ"/>
        </w:rPr>
        <w:t>A key part of the</w:t>
      </w:r>
      <w:r>
        <w:rPr>
          <w:rFonts w:ascii="Arial" w:hAnsi="Arial" w:cs="Arial"/>
          <w:sz w:val="22"/>
          <w:szCs w:val="22"/>
        </w:rPr>
        <w:t xml:space="preserve"> proposed Commission’s work will be to advise the Government on emissions budgets.</w:t>
      </w:r>
    </w:p>
    <w:p w14:paraId="4B9CD8E8" w14:textId="77777777" w:rsidR="002869DD" w:rsidRDefault="002869DD" w:rsidP="00FA3676">
      <w:pPr>
        <w:pStyle w:val="Body1"/>
        <w:spacing w:before="300" w:after="200" w:line="276" w:lineRule="auto"/>
        <w:rPr>
          <w:rFonts w:ascii="Arial" w:hAnsi="Arial" w:cs="Arial"/>
          <w:sz w:val="22"/>
          <w:szCs w:val="22"/>
        </w:rPr>
      </w:pPr>
      <w:r>
        <w:rPr>
          <w:rFonts w:ascii="Arial" w:hAnsi="Arial" w:cs="Arial"/>
          <w:sz w:val="22"/>
          <w:szCs w:val="22"/>
        </w:rPr>
        <w:lastRenderedPageBreak/>
        <w:t xml:space="preserve">Emissions budgets set the total emissions of all greenhouse gases permitted in the relevant budget period. The Government will set emissions budgets based on the proposed Commission’s advice. </w:t>
      </w:r>
    </w:p>
    <w:p w14:paraId="5B3A215C" w14:textId="77777777" w:rsidR="002869DD" w:rsidRPr="00BD7B88" w:rsidRDefault="002869DD" w:rsidP="00FA3676">
      <w:pPr>
        <w:pStyle w:val="Body1"/>
        <w:spacing w:before="300" w:after="200" w:line="276" w:lineRule="auto"/>
        <w:rPr>
          <w:rFonts w:ascii="Arial" w:hAnsi="Arial" w:cs="Arial"/>
          <w:b/>
          <w:szCs w:val="24"/>
        </w:rPr>
      </w:pPr>
      <w:r w:rsidRPr="00BD7B88">
        <w:rPr>
          <w:rFonts w:ascii="Arial" w:hAnsi="Arial" w:cs="Arial"/>
          <w:b/>
          <w:szCs w:val="24"/>
        </w:rPr>
        <w:t>Why are we doing this now?</w:t>
      </w:r>
    </w:p>
    <w:p w14:paraId="601EA188" w14:textId="77777777" w:rsidR="002869DD" w:rsidRDefault="002869DD" w:rsidP="000768D7">
      <w:pPr>
        <w:pStyle w:val="Body1"/>
        <w:spacing w:after="200" w:line="276" w:lineRule="auto"/>
        <w:rPr>
          <w:rFonts w:ascii="Arial" w:hAnsi="Arial" w:cs="Arial"/>
          <w:sz w:val="22"/>
          <w:szCs w:val="22"/>
          <w:lang w:val="en-NZ"/>
        </w:rPr>
      </w:pPr>
      <w:r>
        <w:rPr>
          <w:rFonts w:ascii="Arial" w:hAnsi="Arial" w:cs="Arial"/>
          <w:sz w:val="22"/>
          <w:szCs w:val="22"/>
          <w:lang w:val="en-NZ"/>
        </w:rPr>
        <w:t xml:space="preserve">We are running this call for evidence now as foundation work for the proposed Climate Change Commission to enable it to start work immediately as soon as it is set up. </w:t>
      </w:r>
    </w:p>
    <w:p w14:paraId="1227D9D1" w14:textId="77777777" w:rsidR="002869DD" w:rsidRDefault="002869DD" w:rsidP="000768D7">
      <w:pPr>
        <w:pStyle w:val="Body1"/>
        <w:spacing w:after="200" w:line="276" w:lineRule="auto"/>
        <w:rPr>
          <w:rFonts w:ascii="Arial" w:hAnsi="Arial" w:cs="Arial"/>
          <w:sz w:val="22"/>
          <w:szCs w:val="22"/>
          <w:lang w:val="en-NZ"/>
        </w:rPr>
      </w:pPr>
      <w:r>
        <w:rPr>
          <w:rFonts w:ascii="Arial" w:hAnsi="Arial" w:cs="Arial"/>
          <w:sz w:val="22"/>
          <w:szCs w:val="22"/>
          <w:lang w:val="en-NZ"/>
        </w:rPr>
        <w:t xml:space="preserve">It will help identify relevant information for developing these emissions budgets, and to maintain a broad, robust and transparent approach in developing the proposed Commission’s evidence base.  </w:t>
      </w:r>
    </w:p>
    <w:p w14:paraId="1DDBE09F" w14:textId="77777777" w:rsidR="002869DD" w:rsidRDefault="002869DD" w:rsidP="000768D7">
      <w:pPr>
        <w:pStyle w:val="Body1"/>
        <w:spacing w:after="200" w:line="276" w:lineRule="auto"/>
        <w:rPr>
          <w:rFonts w:ascii="Arial" w:hAnsi="Arial" w:cs="Arial"/>
          <w:sz w:val="22"/>
          <w:szCs w:val="22"/>
          <w:lang w:val="en-NZ"/>
        </w:rPr>
      </w:pPr>
      <w:r>
        <w:rPr>
          <w:rFonts w:ascii="Arial" w:hAnsi="Arial" w:cs="Arial"/>
          <w:sz w:val="22"/>
          <w:szCs w:val="22"/>
          <w:lang w:val="en-NZ"/>
        </w:rPr>
        <w:t xml:space="preserve">We have been asked to do this through our </w:t>
      </w:r>
      <w:hyperlink r:id="rId10" w:history="1">
        <w:r w:rsidRPr="00D17FB2">
          <w:rPr>
            <w:rStyle w:val="Hyperlink"/>
            <w:rFonts w:ascii="Arial" w:hAnsi="Arial" w:cs="Arial"/>
            <w:sz w:val="22"/>
            <w:szCs w:val="22"/>
            <w:lang w:val="en-NZ"/>
          </w:rPr>
          <w:t>Terms of Reference</w:t>
        </w:r>
      </w:hyperlink>
      <w:r>
        <w:rPr>
          <w:rFonts w:ascii="Arial" w:hAnsi="Arial" w:cs="Arial"/>
          <w:sz w:val="22"/>
          <w:szCs w:val="22"/>
          <w:lang w:val="en-NZ"/>
        </w:rPr>
        <w:t xml:space="preserve">. This work is also outlined in our letter to the Minister for Climate Change on 7 May 2019 </w:t>
      </w:r>
      <w:hyperlink r:id="rId11" w:history="1">
        <w:r w:rsidRPr="00D17FB2">
          <w:rPr>
            <w:rStyle w:val="Hyperlink"/>
            <w:rFonts w:ascii="Arial" w:hAnsi="Arial" w:cs="Arial"/>
            <w:sz w:val="22"/>
            <w:szCs w:val="22"/>
            <w:lang w:val="en-NZ"/>
          </w:rPr>
          <w:t>here</w:t>
        </w:r>
      </w:hyperlink>
      <w:r>
        <w:rPr>
          <w:rFonts w:ascii="Arial" w:hAnsi="Arial" w:cs="Arial"/>
          <w:sz w:val="22"/>
          <w:szCs w:val="22"/>
          <w:lang w:val="en-NZ"/>
        </w:rPr>
        <w:t>.</w:t>
      </w:r>
    </w:p>
    <w:p w14:paraId="1745085C" w14:textId="77777777" w:rsidR="002869DD" w:rsidRPr="0053207D" w:rsidRDefault="002869DD" w:rsidP="000768D7">
      <w:pPr>
        <w:pStyle w:val="Body1"/>
        <w:spacing w:after="200" w:line="276" w:lineRule="auto"/>
        <w:rPr>
          <w:rFonts w:ascii="Arial" w:hAnsi="Arial" w:cs="Arial"/>
          <w:b/>
          <w:szCs w:val="22"/>
          <w:lang w:val="en-NZ"/>
        </w:rPr>
      </w:pPr>
      <w:r w:rsidRPr="0053207D">
        <w:rPr>
          <w:rFonts w:ascii="Arial" w:hAnsi="Arial" w:cs="Arial"/>
          <w:b/>
          <w:szCs w:val="22"/>
          <w:lang w:val="en-NZ"/>
        </w:rPr>
        <w:t xml:space="preserve">What </w:t>
      </w:r>
      <w:r>
        <w:rPr>
          <w:rFonts w:ascii="Arial" w:hAnsi="Arial" w:cs="Arial"/>
          <w:b/>
          <w:szCs w:val="22"/>
          <w:lang w:val="en-NZ"/>
        </w:rPr>
        <w:t>are we</w:t>
      </w:r>
      <w:r w:rsidRPr="0053207D">
        <w:rPr>
          <w:rFonts w:ascii="Arial" w:hAnsi="Arial" w:cs="Arial"/>
          <w:b/>
          <w:szCs w:val="22"/>
          <w:lang w:val="en-NZ"/>
        </w:rPr>
        <w:t xml:space="preserve"> looking for</w:t>
      </w:r>
      <w:r>
        <w:rPr>
          <w:rFonts w:ascii="Arial" w:hAnsi="Arial" w:cs="Arial"/>
          <w:b/>
          <w:szCs w:val="22"/>
          <w:lang w:val="en-NZ"/>
        </w:rPr>
        <w:t>?</w:t>
      </w:r>
    </w:p>
    <w:p w14:paraId="4E5E67AB" w14:textId="77777777" w:rsidR="002869DD" w:rsidRDefault="002869DD" w:rsidP="0042205A">
      <w:pPr>
        <w:pStyle w:val="Body1"/>
        <w:spacing w:after="200" w:line="276" w:lineRule="auto"/>
        <w:rPr>
          <w:rFonts w:ascii="Arial" w:hAnsi="Arial" w:cs="Arial"/>
          <w:sz w:val="22"/>
          <w:szCs w:val="22"/>
        </w:rPr>
      </w:pPr>
      <w:r>
        <w:rPr>
          <w:rFonts w:ascii="Arial" w:hAnsi="Arial" w:cs="Arial"/>
          <w:sz w:val="22"/>
          <w:szCs w:val="22"/>
        </w:rPr>
        <w:t xml:space="preserve">We are looking for high-quality, credible, evidence that will support the proposed Commission’s work on emissions budgets. This is likely to include </w:t>
      </w:r>
      <w:r w:rsidRPr="00ED107D">
        <w:rPr>
          <w:rFonts w:ascii="Arial" w:hAnsi="Arial" w:cs="Arial"/>
          <w:sz w:val="22"/>
          <w:szCs w:val="22"/>
        </w:rPr>
        <w:t>knowledge and evidence</w:t>
      </w:r>
      <w:r>
        <w:rPr>
          <w:rFonts w:ascii="Arial" w:hAnsi="Arial" w:cs="Arial"/>
          <w:sz w:val="22"/>
          <w:szCs w:val="22"/>
          <w:lang w:val="en-NZ"/>
        </w:rPr>
        <w:t xml:space="preserve"> </w:t>
      </w:r>
      <w:r w:rsidRPr="00ED107D">
        <w:rPr>
          <w:rFonts w:ascii="Arial" w:hAnsi="Arial" w:cs="Arial"/>
          <w:sz w:val="22"/>
          <w:szCs w:val="22"/>
        </w:rPr>
        <w:t xml:space="preserve">of </w:t>
      </w:r>
      <w:r>
        <w:rPr>
          <w:rFonts w:ascii="Arial" w:hAnsi="Arial" w:cs="Arial"/>
          <w:sz w:val="22"/>
          <w:szCs w:val="22"/>
        </w:rPr>
        <w:t xml:space="preserve">technologies and options to reduce emissions, and </w:t>
      </w:r>
      <w:r w:rsidRPr="00ED107D">
        <w:rPr>
          <w:rFonts w:ascii="Arial" w:hAnsi="Arial" w:cs="Arial"/>
          <w:sz w:val="22"/>
          <w:szCs w:val="22"/>
        </w:rPr>
        <w:t>the economic, environment</w:t>
      </w:r>
      <w:r>
        <w:rPr>
          <w:rFonts w:ascii="Arial" w:hAnsi="Arial" w:cs="Arial"/>
          <w:sz w:val="22"/>
          <w:szCs w:val="22"/>
        </w:rPr>
        <w:t xml:space="preserve">al, cultural </w:t>
      </w:r>
      <w:r w:rsidRPr="00ED107D">
        <w:rPr>
          <w:rFonts w:ascii="Arial" w:hAnsi="Arial" w:cs="Arial"/>
          <w:sz w:val="22"/>
          <w:szCs w:val="22"/>
        </w:rPr>
        <w:t>and social impacts</w:t>
      </w:r>
      <w:r>
        <w:rPr>
          <w:rFonts w:ascii="Arial" w:hAnsi="Arial" w:cs="Arial"/>
          <w:sz w:val="22"/>
          <w:szCs w:val="22"/>
        </w:rPr>
        <w:t xml:space="preserve"> of them. We are not looking for personal views or opinions.</w:t>
      </w:r>
    </w:p>
    <w:p w14:paraId="16BBF872" w14:textId="77777777" w:rsidR="002869DD" w:rsidRPr="00A015F5" w:rsidRDefault="002869DD" w:rsidP="00B57173">
      <w:pPr>
        <w:pStyle w:val="Body1"/>
        <w:spacing w:after="200" w:line="276" w:lineRule="auto"/>
        <w:rPr>
          <w:rFonts w:ascii="Arial" w:hAnsi="Arial" w:cs="Arial"/>
          <w:b/>
          <w:szCs w:val="22"/>
          <w:lang w:val="en-NZ"/>
        </w:rPr>
      </w:pPr>
      <w:r w:rsidRPr="00A015F5">
        <w:rPr>
          <w:rFonts w:ascii="Arial" w:hAnsi="Arial" w:cs="Arial"/>
          <w:b/>
          <w:szCs w:val="22"/>
          <w:lang w:val="en-NZ"/>
        </w:rPr>
        <w:t>What if I have already made submissions on similar topics?</w:t>
      </w:r>
    </w:p>
    <w:p w14:paraId="4436E16A" w14:textId="77777777" w:rsidR="002869DD" w:rsidRDefault="002869DD" w:rsidP="00B57173">
      <w:pPr>
        <w:pStyle w:val="Body1"/>
        <w:spacing w:after="200" w:line="276" w:lineRule="auto"/>
        <w:rPr>
          <w:rFonts w:ascii="Arial" w:hAnsi="Arial" w:cs="Arial"/>
          <w:sz w:val="22"/>
          <w:szCs w:val="22"/>
        </w:rPr>
      </w:pPr>
      <w:r w:rsidRPr="00B57173">
        <w:rPr>
          <w:rFonts w:ascii="Arial" w:hAnsi="Arial" w:cs="Arial"/>
          <w:sz w:val="22"/>
          <w:szCs w:val="22"/>
        </w:rPr>
        <w:t xml:space="preserve">If you have already submitted evidence as part of consultation run by Government agencies, such as the Zero Carbon Bill or the Ministry of Transport’s </w:t>
      </w:r>
      <w:r>
        <w:rPr>
          <w:rFonts w:ascii="Arial" w:hAnsi="Arial" w:cs="Arial"/>
          <w:sz w:val="22"/>
          <w:szCs w:val="22"/>
        </w:rPr>
        <w:t>C</w:t>
      </w:r>
      <w:r w:rsidRPr="00B57173">
        <w:rPr>
          <w:rFonts w:ascii="Arial" w:hAnsi="Arial" w:cs="Arial"/>
          <w:sz w:val="22"/>
          <w:szCs w:val="22"/>
        </w:rPr>
        <w:t xml:space="preserve">lean </w:t>
      </w:r>
      <w:r>
        <w:rPr>
          <w:rFonts w:ascii="Arial" w:hAnsi="Arial" w:cs="Arial"/>
          <w:sz w:val="22"/>
          <w:szCs w:val="22"/>
        </w:rPr>
        <w:t>C</w:t>
      </w:r>
      <w:r w:rsidRPr="00B57173">
        <w:rPr>
          <w:rFonts w:ascii="Arial" w:hAnsi="Arial" w:cs="Arial"/>
          <w:sz w:val="22"/>
          <w:szCs w:val="22"/>
        </w:rPr>
        <w:t>ar</w:t>
      </w:r>
      <w:r>
        <w:rPr>
          <w:rFonts w:ascii="Arial" w:hAnsi="Arial" w:cs="Arial"/>
          <w:sz w:val="22"/>
          <w:szCs w:val="22"/>
        </w:rPr>
        <w:t xml:space="preserve"> Standard and Discount</w:t>
      </w:r>
      <w:r w:rsidRPr="00B57173">
        <w:rPr>
          <w:rFonts w:ascii="Arial" w:hAnsi="Arial" w:cs="Arial"/>
          <w:sz w:val="22"/>
          <w:szCs w:val="22"/>
        </w:rPr>
        <w:t xml:space="preserve">, then we are happy for you to point us to those submissions, noting the key information or material that relates to </w:t>
      </w:r>
      <w:r>
        <w:rPr>
          <w:rFonts w:ascii="Arial" w:hAnsi="Arial" w:cs="Arial"/>
          <w:sz w:val="22"/>
          <w:szCs w:val="22"/>
        </w:rPr>
        <w:t>our</w:t>
      </w:r>
      <w:r w:rsidRPr="00B57173">
        <w:rPr>
          <w:rFonts w:ascii="Arial" w:hAnsi="Arial" w:cs="Arial"/>
          <w:sz w:val="22"/>
          <w:szCs w:val="22"/>
        </w:rPr>
        <w:t xml:space="preserve"> call for evidence.</w:t>
      </w:r>
    </w:p>
    <w:p w14:paraId="08727B99" w14:textId="77777777" w:rsidR="002869DD" w:rsidRPr="001720E5" w:rsidRDefault="002869DD" w:rsidP="003E7D0C">
      <w:pPr>
        <w:pStyle w:val="Body1"/>
        <w:spacing w:after="200" w:line="276" w:lineRule="auto"/>
        <w:rPr>
          <w:rFonts w:ascii="Arial" w:hAnsi="Arial" w:cs="Arial"/>
          <w:b/>
          <w:bCs/>
          <w:color w:val="000000" w:themeColor="text1"/>
          <w:kern w:val="32"/>
          <w:sz w:val="28"/>
          <w:szCs w:val="28"/>
        </w:rPr>
      </w:pPr>
      <w:r w:rsidRPr="001720E5">
        <w:rPr>
          <w:rFonts w:ascii="Arial" w:hAnsi="Arial" w:cs="Arial"/>
          <w:b/>
          <w:bCs/>
          <w:color w:val="000000" w:themeColor="text1"/>
          <w:kern w:val="32"/>
          <w:sz w:val="28"/>
          <w:szCs w:val="28"/>
        </w:rPr>
        <w:t>Call for evidence: response form</w:t>
      </w:r>
    </w:p>
    <w:p w14:paraId="2AFC5920" w14:textId="77777777" w:rsidR="002869DD" w:rsidRPr="002D2253" w:rsidRDefault="002869DD" w:rsidP="00235905">
      <w:pPr>
        <w:pStyle w:val="Body1"/>
        <w:spacing w:before="300" w:after="200" w:line="276" w:lineRule="auto"/>
        <w:rPr>
          <w:rFonts w:ascii="Arial" w:hAnsi="Arial" w:cs="Arial"/>
          <w:sz w:val="22"/>
          <w:szCs w:val="22"/>
        </w:rPr>
      </w:pPr>
      <w:r w:rsidRPr="002D2253">
        <w:rPr>
          <w:rFonts w:ascii="Arial" w:hAnsi="Arial" w:cs="Arial"/>
          <w:sz w:val="22"/>
          <w:szCs w:val="22"/>
        </w:rPr>
        <w:t>We</w:t>
      </w:r>
      <w:r>
        <w:rPr>
          <w:rFonts w:ascii="Arial" w:hAnsi="Arial" w:cs="Arial"/>
          <w:sz w:val="22"/>
          <w:szCs w:val="22"/>
        </w:rPr>
        <w:t xml:space="preserve"> are looking for </w:t>
      </w:r>
      <w:r w:rsidRPr="002D2253">
        <w:rPr>
          <w:rFonts w:ascii="Arial" w:hAnsi="Arial" w:cs="Arial"/>
          <w:sz w:val="22"/>
          <w:szCs w:val="22"/>
        </w:rPr>
        <w:t xml:space="preserve">responses </w:t>
      </w:r>
      <w:r w:rsidRPr="003B7939">
        <w:rPr>
          <w:rFonts w:ascii="Arial" w:hAnsi="Arial" w:cs="Arial"/>
          <w:sz w:val="22"/>
          <w:szCs w:val="22"/>
          <w:lang w:val="en-NZ"/>
        </w:rPr>
        <w:t>that are evidence-based</w:t>
      </w:r>
      <w:r>
        <w:rPr>
          <w:rFonts w:ascii="Arial" w:hAnsi="Arial" w:cs="Arial"/>
          <w:sz w:val="22"/>
          <w:szCs w:val="22"/>
          <w:lang w:val="en-NZ"/>
        </w:rPr>
        <w:t>, with data and references included where possible.</w:t>
      </w:r>
      <w:r w:rsidRPr="003B7939">
        <w:rPr>
          <w:rFonts w:ascii="Arial" w:hAnsi="Arial" w:cs="Arial"/>
          <w:sz w:val="22"/>
          <w:szCs w:val="22"/>
          <w:lang w:val="en-NZ"/>
        </w:rPr>
        <w:t xml:space="preserve"> Please limit your response</w:t>
      </w:r>
      <w:r>
        <w:rPr>
          <w:rFonts w:ascii="Arial" w:hAnsi="Arial" w:cs="Arial"/>
          <w:sz w:val="22"/>
          <w:szCs w:val="22"/>
          <w:lang w:val="en-NZ"/>
        </w:rPr>
        <w:t xml:space="preserve"> to each question</w:t>
      </w:r>
      <w:r w:rsidRPr="003B7939">
        <w:rPr>
          <w:rFonts w:ascii="Arial" w:hAnsi="Arial" w:cs="Arial"/>
          <w:sz w:val="22"/>
          <w:szCs w:val="22"/>
          <w:lang w:val="en-NZ"/>
        </w:rPr>
        <w:t xml:space="preserve"> to a maximum of 400 words</w:t>
      </w:r>
      <w:r>
        <w:rPr>
          <w:rFonts w:ascii="Arial" w:hAnsi="Arial" w:cs="Arial"/>
          <w:sz w:val="22"/>
          <w:szCs w:val="22"/>
          <w:lang w:val="en-NZ"/>
        </w:rPr>
        <w:t>,</w:t>
      </w:r>
      <w:r>
        <w:rPr>
          <w:rFonts w:ascii="Arial" w:hAnsi="Arial" w:cs="Arial"/>
          <w:sz w:val="22"/>
          <w:szCs w:val="22"/>
        </w:rPr>
        <w:t xml:space="preserve"> </w:t>
      </w:r>
      <w:r w:rsidRPr="002D2253">
        <w:rPr>
          <w:rFonts w:ascii="Arial" w:hAnsi="Arial" w:cs="Arial"/>
          <w:sz w:val="22"/>
          <w:szCs w:val="22"/>
        </w:rPr>
        <w:t>plus links to supporting evidence</w:t>
      </w:r>
      <w:r>
        <w:rPr>
          <w:rFonts w:ascii="Arial" w:hAnsi="Arial" w:cs="Arial"/>
          <w:sz w:val="22"/>
          <w:szCs w:val="22"/>
        </w:rPr>
        <w:t xml:space="preserve">, using the template provided. Please answer only those questions where you have particular expertise or experience. </w:t>
      </w:r>
    </w:p>
    <w:p w14:paraId="2DF3F179" w14:textId="77777777" w:rsidR="002869DD" w:rsidRDefault="002869DD" w:rsidP="003E7D0C">
      <w:pPr>
        <w:pStyle w:val="Body1"/>
        <w:spacing w:after="200" w:line="276" w:lineRule="auto"/>
        <w:rPr>
          <w:rFonts w:ascii="Arial" w:hAnsi="Arial" w:cs="Arial"/>
          <w:sz w:val="22"/>
          <w:szCs w:val="22"/>
        </w:rPr>
      </w:pPr>
      <w:r w:rsidRPr="002D2253">
        <w:rPr>
          <w:rFonts w:ascii="Arial" w:hAnsi="Arial" w:cs="Arial"/>
          <w:sz w:val="22"/>
          <w:szCs w:val="22"/>
        </w:rPr>
        <w:t xml:space="preserve">We </w:t>
      </w:r>
      <w:r>
        <w:rPr>
          <w:rFonts w:ascii="Arial" w:hAnsi="Arial" w:cs="Arial"/>
          <w:sz w:val="22"/>
          <w:szCs w:val="22"/>
        </w:rPr>
        <w:t xml:space="preserve">recommend that you refer to the Climate Change Response (Zero Carbon) Amendment Bill when considering your answers, which can be found </w:t>
      </w:r>
      <w:hyperlink r:id="rId12" w:history="1">
        <w:r w:rsidRPr="00477D7C">
          <w:rPr>
            <w:rStyle w:val="Hyperlink"/>
            <w:rFonts w:ascii="Arial" w:hAnsi="Arial" w:cs="Arial"/>
            <w:sz w:val="22"/>
            <w:szCs w:val="22"/>
          </w:rPr>
          <w:t>here</w:t>
        </w:r>
      </w:hyperlink>
      <w:r>
        <w:rPr>
          <w:rFonts w:ascii="Arial" w:hAnsi="Arial" w:cs="Arial"/>
          <w:sz w:val="22"/>
          <w:szCs w:val="22"/>
        </w:rPr>
        <w:t xml:space="preserve">. </w:t>
      </w:r>
    </w:p>
    <w:p w14:paraId="0283886D" w14:textId="77777777" w:rsidR="002869DD" w:rsidRPr="00A015F5" w:rsidRDefault="002869DD" w:rsidP="003E7D0C">
      <w:pPr>
        <w:pStyle w:val="Body1"/>
        <w:spacing w:after="200" w:line="276" w:lineRule="auto"/>
        <w:rPr>
          <w:rFonts w:ascii="Arial" w:hAnsi="Arial" w:cs="Arial"/>
          <w:color w:val="auto"/>
          <w:sz w:val="22"/>
          <w:szCs w:val="22"/>
        </w:rPr>
      </w:pPr>
      <w:r w:rsidRPr="00A015F5">
        <w:rPr>
          <w:rFonts w:ascii="Arial" w:hAnsi="Arial" w:cs="Arial"/>
          <w:sz w:val="22"/>
          <w:szCs w:val="22"/>
        </w:rPr>
        <w:t xml:space="preserve">If you have any questions about completing the call for evidence, please contact us via </w:t>
      </w:r>
      <w:hyperlink r:id="rId13" w:history="1">
        <w:r w:rsidRPr="00535FA2">
          <w:rPr>
            <w:rStyle w:val="Hyperlink"/>
            <w:rFonts w:ascii="Arial" w:hAnsi="Arial" w:cs="Arial"/>
            <w:sz w:val="22"/>
            <w:szCs w:val="22"/>
          </w:rPr>
          <w:t>feedback@ICCC.mfe.govt.nz</w:t>
        </w:r>
      </w:hyperlink>
      <w:r w:rsidRPr="00A015F5">
        <w:rPr>
          <w:rStyle w:val="Hyperlink"/>
          <w:rFonts w:ascii="Arial" w:hAnsi="Arial" w:cs="Arial"/>
          <w:sz w:val="22"/>
          <w:szCs w:val="22"/>
        </w:rPr>
        <w:t xml:space="preserve">. </w:t>
      </w:r>
      <w:r w:rsidRPr="00A015F5">
        <w:rPr>
          <w:rStyle w:val="Hyperlink"/>
          <w:rFonts w:ascii="Arial" w:hAnsi="Arial" w:cs="Arial"/>
          <w:color w:val="auto"/>
          <w:sz w:val="22"/>
          <w:szCs w:val="22"/>
        </w:rPr>
        <w:t>Please include a contact number in case we need to talk to you about your query.</w:t>
      </w:r>
      <w:r w:rsidRPr="00A015F5">
        <w:rPr>
          <w:rFonts w:ascii="Arial" w:hAnsi="Arial" w:cs="Arial"/>
          <w:color w:val="auto"/>
          <w:sz w:val="22"/>
          <w:szCs w:val="22"/>
        </w:rPr>
        <w:t xml:space="preserve"> </w:t>
      </w:r>
    </w:p>
    <w:p w14:paraId="0B156C6E" w14:textId="77777777" w:rsidR="002869DD" w:rsidRDefault="002869DD" w:rsidP="00A015F5">
      <w:pPr>
        <w:pStyle w:val="Body1"/>
        <w:spacing w:after="200" w:line="276" w:lineRule="auto"/>
        <w:rPr>
          <w:rFonts w:ascii="Arial" w:hAnsi="Arial" w:cs="Arial"/>
          <w:sz w:val="22"/>
          <w:szCs w:val="22"/>
        </w:rPr>
      </w:pPr>
      <w:r w:rsidRPr="00A015F5">
        <w:rPr>
          <w:rFonts w:ascii="Arial" w:hAnsi="Arial" w:cs="Arial"/>
          <w:sz w:val="22"/>
          <w:szCs w:val="22"/>
        </w:rPr>
        <w:t xml:space="preserve">Please email your completed form by </w:t>
      </w:r>
      <w:r w:rsidRPr="00A015F5">
        <w:rPr>
          <w:rFonts w:ascii="Arial" w:hAnsi="Arial" w:cs="Arial"/>
          <w:b/>
          <w:sz w:val="22"/>
          <w:szCs w:val="22"/>
        </w:rPr>
        <w:t>12 noon, Friday 15 November 2019</w:t>
      </w:r>
      <w:r>
        <w:rPr>
          <w:rFonts w:ascii="Arial" w:hAnsi="Arial" w:cs="Arial"/>
          <w:b/>
          <w:sz w:val="22"/>
          <w:szCs w:val="22"/>
        </w:rPr>
        <w:t xml:space="preserve"> </w:t>
      </w:r>
      <w:r w:rsidRPr="00A015F5">
        <w:rPr>
          <w:rFonts w:ascii="Arial" w:hAnsi="Arial" w:cs="Arial"/>
          <w:sz w:val="22"/>
          <w:szCs w:val="22"/>
        </w:rPr>
        <w:t xml:space="preserve">to </w:t>
      </w:r>
      <w:hyperlink r:id="rId14" w:history="1">
        <w:r w:rsidRPr="00535FA2">
          <w:rPr>
            <w:rStyle w:val="Hyperlink"/>
            <w:rFonts w:ascii="Arial" w:hAnsi="Arial" w:cs="Arial"/>
            <w:sz w:val="22"/>
            <w:szCs w:val="22"/>
          </w:rPr>
          <w:t>feedback@ICCC.mfe.govt.nz</w:t>
        </w:r>
      </w:hyperlink>
      <w:r w:rsidRPr="00A015F5">
        <w:rPr>
          <w:rFonts w:ascii="Arial" w:hAnsi="Arial" w:cs="Arial"/>
          <w:sz w:val="22"/>
          <w:szCs w:val="22"/>
        </w:rPr>
        <w:t>.</w:t>
      </w:r>
      <w:r w:rsidRPr="00A015F5">
        <w:rPr>
          <w:rFonts w:ascii="Arial" w:hAnsi="Arial" w:cs="Arial"/>
          <w:b/>
          <w:sz w:val="22"/>
          <w:szCs w:val="22"/>
        </w:rPr>
        <w:t xml:space="preserve"> </w:t>
      </w:r>
      <w:r w:rsidRPr="00A015F5">
        <w:rPr>
          <w:rFonts w:ascii="Arial" w:hAnsi="Arial" w:cs="Arial"/>
          <w:sz w:val="22"/>
          <w:szCs w:val="22"/>
        </w:rPr>
        <w:t xml:space="preserve">We may follow up for more detail where appropriate.  </w:t>
      </w:r>
    </w:p>
    <w:p w14:paraId="4FED7F98" w14:textId="77777777" w:rsidR="002869DD" w:rsidRDefault="002869DD" w:rsidP="003B7939">
      <w:pPr>
        <w:pStyle w:val="Body1"/>
        <w:spacing w:before="300" w:after="200" w:line="276" w:lineRule="auto"/>
        <w:rPr>
          <w:rFonts w:ascii="Arial" w:hAnsi="Arial" w:cs="Arial"/>
          <w:b/>
          <w:sz w:val="22"/>
          <w:szCs w:val="22"/>
          <w:lang w:val="en-NZ"/>
        </w:rPr>
      </w:pPr>
      <w:r>
        <w:rPr>
          <w:rFonts w:ascii="Arial" w:hAnsi="Arial" w:cs="Arial"/>
          <w:b/>
          <w:sz w:val="22"/>
          <w:szCs w:val="22"/>
          <w:lang w:val="en-NZ"/>
        </w:rPr>
        <w:br/>
      </w:r>
    </w:p>
    <w:p w14:paraId="6544CD90" w14:textId="77777777" w:rsidR="002869DD" w:rsidRPr="0042205A" w:rsidRDefault="002869DD" w:rsidP="003B7939">
      <w:pPr>
        <w:pStyle w:val="Body1"/>
        <w:spacing w:before="300" w:after="200" w:line="276" w:lineRule="auto"/>
        <w:rPr>
          <w:rFonts w:ascii="Arial" w:hAnsi="Arial" w:cs="Arial"/>
          <w:b/>
          <w:sz w:val="22"/>
          <w:szCs w:val="22"/>
          <w:lang w:val="en-NZ"/>
        </w:rPr>
      </w:pPr>
      <w:r w:rsidRPr="0042205A">
        <w:rPr>
          <w:rFonts w:ascii="Arial" w:hAnsi="Arial" w:cs="Arial"/>
          <w:b/>
          <w:sz w:val="22"/>
          <w:szCs w:val="22"/>
          <w:lang w:val="en-NZ"/>
        </w:rPr>
        <w:lastRenderedPageBreak/>
        <w:t>Contact details</w:t>
      </w:r>
    </w:p>
    <w:tbl>
      <w:tblPr>
        <w:tblStyle w:val="GridTable4-Accent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186"/>
      </w:tblGrid>
      <w:tr w:rsidR="002869DD" w14:paraId="7F259FE8" w14:textId="77777777" w:rsidTr="005F4DDD">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830"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1B8EF8B0" w14:textId="77777777" w:rsidR="002869DD" w:rsidRPr="00F54A1F" w:rsidRDefault="002869DD" w:rsidP="005F4DDD">
            <w:pPr>
              <w:pStyle w:val="BodyBullet"/>
              <w:spacing w:after="200" w:line="276" w:lineRule="auto"/>
              <w:rPr>
                <w:rFonts w:ascii="Arial" w:hAnsi="Arial" w:cs="Arial"/>
                <w:i/>
                <w:color w:val="000000" w:themeColor="text1"/>
                <w:sz w:val="22"/>
                <w:szCs w:val="22"/>
                <w:lang w:val="en-NZ"/>
              </w:rPr>
            </w:pPr>
            <w:r w:rsidRPr="00F54A1F">
              <w:rPr>
                <w:rFonts w:ascii="Arial" w:hAnsi="Arial" w:cs="Arial"/>
                <w:i/>
                <w:color w:val="000000" w:themeColor="text1"/>
                <w:sz w:val="22"/>
                <w:szCs w:val="22"/>
                <w:lang w:val="en-NZ"/>
              </w:rPr>
              <w:t>Name and/or organisation</w:t>
            </w:r>
          </w:p>
        </w:tc>
        <w:tc>
          <w:tcPr>
            <w:tcW w:w="6186" w:type="dxa"/>
            <w:tcBorders>
              <w:top w:val="none" w:sz="0" w:space="0" w:color="auto"/>
              <w:left w:val="none" w:sz="0" w:space="0" w:color="auto"/>
              <w:bottom w:val="none" w:sz="0" w:space="0" w:color="auto"/>
              <w:right w:val="none" w:sz="0" w:space="0" w:color="auto"/>
            </w:tcBorders>
            <w:shd w:val="clear" w:color="auto" w:fill="auto"/>
          </w:tcPr>
          <w:p w14:paraId="56E73694" w14:textId="77777777" w:rsidR="002869DD" w:rsidRPr="00E80643" w:rsidRDefault="002869DD" w:rsidP="005F4DDD">
            <w:pPr>
              <w:pStyle w:val="BodyBullet"/>
              <w:spacing w:after="200" w:line="276" w:lineRule="auto"/>
              <w:cnfStyle w:val="100000000000" w:firstRow="1" w:lastRow="0" w:firstColumn="0" w:lastColumn="0" w:oddVBand="0" w:evenVBand="0" w:oddHBand="0" w:evenHBand="0" w:firstRowFirstColumn="0" w:firstRowLastColumn="0" w:lastRowFirstColumn="0" w:lastRowLastColumn="0"/>
              <w:rPr>
                <w:rFonts w:ascii="Arial" w:hAnsi="Arial" w:cs="Arial"/>
                <w:b w:val="0"/>
                <w:bCs w:val="0"/>
                <w:iCs/>
                <w:color w:val="000000" w:themeColor="text1"/>
                <w:sz w:val="22"/>
                <w:szCs w:val="22"/>
                <w:lang w:val="en-NZ"/>
              </w:rPr>
            </w:pPr>
            <w:r w:rsidRPr="00E80643">
              <w:rPr>
                <w:rFonts w:ascii="Arial" w:hAnsi="Arial" w:cs="Arial"/>
                <w:b w:val="0"/>
                <w:bCs w:val="0"/>
                <w:iCs/>
                <w:color w:val="000000" w:themeColor="text1"/>
                <w:sz w:val="22"/>
                <w:szCs w:val="22"/>
                <w:lang w:val="en-NZ"/>
              </w:rPr>
              <w:t>New Zealand Centre for Sustainable Cities</w:t>
            </w:r>
          </w:p>
        </w:tc>
      </w:tr>
      <w:tr w:rsidR="002869DD" w14:paraId="03697FF6" w14:textId="77777777" w:rsidTr="00A015F5">
        <w:trPr>
          <w:cnfStyle w:val="000000100000" w:firstRow="0" w:lastRow="0" w:firstColumn="0" w:lastColumn="0" w:oddVBand="0" w:evenVBand="0" w:oddHBand="1" w:evenHBand="0" w:firstRowFirstColumn="0" w:firstRowLastColumn="0" w:lastRowFirstColumn="0" w:lastRowLastColumn="0"/>
          <w:trHeight w:val="1245"/>
        </w:trPr>
        <w:tc>
          <w:tcPr>
            <w:cnfStyle w:val="001000000000" w:firstRow="0" w:lastRow="0" w:firstColumn="1" w:lastColumn="0" w:oddVBand="0" w:evenVBand="0" w:oddHBand="0" w:evenHBand="0" w:firstRowFirstColumn="0" w:firstRowLastColumn="0" w:lastRowFirstColumn="0" w:lastRowLastColumn="0"/>
            <w:tcW w:w="2830" w:type="dxa"/>
            <w:shd w:val="clear" w:color="auto" w:fill="F2F2F2" w:themeFill="background1" w:themeFillShade="F2"/>
          </w:tcPr>
          <w:p w14:paraId="617486CF" w14:textId="77777777" w:rsidR="002869DD" w:rsidRPr="00F54A1F" w:rsidRDefault="002869DD" w:rsidP="005F4DDD">
            <w:pPr>
              <w:pStyle w:val="BodyBullet"/>
              <w:spacing w:after="200" w:line="276" w:lineRule="auto"/>
              <w:rPr>
                <w:rFonts w:ascii="Arial" w:hAnsi="Arial" w:cs="Arial"/>
                <w:i/>
                <w:color w:val="000000" w:themeColor="text1"/>
                <w:sz w:val="22"/>
                <w:szCs w:val="22"/>
                <w:lang w:val="en-NZ"/>
              </w:rPr>
            </w:pPr>
            <w:r w:rsidRPr="00F54A1F">
              <w:rPr>
                <w:rFonts w:ascii="Arial" w:hAnsi="Arial" w:cs="Arial"/>
                <w:i/>
                <w:color w:val="000000" w:themeColor="text1"/>
                <w:sz w:val="22"/>
                <w:szCs w:val="22"/>
                <w:lang w:val="en-NZ"/>
              </w:rPr>
              <w:t>Postal Address</w:t>
            </w:r>
          </w:p>
        </w:tc>
        <w:tc>
          <w:tcPr>
            <w:tcW w:w="6186" w:type="dxa"/>
            <w:shd w:val="clear" w:color="auto" w:fill="auto"/>
          </w:tcPr>
          <w:p w14:paraId="4E649308" w14:textId="117C0386" w:rsidR="002869DD" w:rsidRPr="00F54A1F" w:rsidRDefault="002869DD" w:rsidP="00CE5A44">
            <w:pPr>
              <w:pStyle w:val="BodyBullet"/>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i/>
                <w:color w:val="000000" w:themeColor="text1"/>
                <w:sz w:val="22"/>
                <w:szCs w:val="22"/>
                <w:lang w:val="en-NZ"/>
              </w:rPr>
            </w:pPr>
          </w:p>
        </w:tc>
      </w:tr>
      <w:tr w:rsidR="002869DD" w14:paraId="4EC6D347" w14:textId="77777777" w:rsidTr="005F4DDD">
        <w:trPr>
          <w:trHeight w:val="413"/>
        </w:trPr>
        <w:tc>
          <w:tcPr>
            <w:cnfStyle w:val="001000000000" w:firstRow="0" w:lastRow="0" w:firstColumn="1" w:lastColumn="0" w:oddVBand="0" w:evenVBand="0" w:oddHBand="0" w:evenHBand="0" w:firstRowFirstColumn="0" w:firstRowLastColumn="0" w:lastRowFirstColumn="0" w:lastRowLastColumn="0"/>
            <w:tcW w:w="2830" w:type="dxa"/>
            <w:shd w:val="clear" w:color="auto" w:fill="F2F2F2" w:themeFill="background1" w:themeFillShade="F2"/>
          </w:tcPr>
          <w:p w14:paraId="015EC2FC" w14:textId="77777777" w:rsidR="002869DD" w:rsidRPr="00F54A1F" w:rsidRDefault="002869DD" w:rsidP="005F4DDD">
            <w:pPr>
              <w:pStyle w:val="BodyBullet"/>
              <w:spacing w:after="200" w:line="276" w:lineRule="auto"/>
              <w:rPr>
                <w:rFonts w:ascii="Arial" w:hAnsi="Arial" w:cs="Arial"/>
                <w:i/>
                <w:color w:val="000000" w:themeColor="text1"/>
                <w:sz w:val="22"/>
                <w:szCs w:val="22"/>
                <w:lang w:val="en-NZ"/>
              </w:rPr>
            </w:pPr>
            <w:r w:rsidRPr="00F54A1F">
              <w:rPr>
                <w:rFonts w:ascii="Arial" w:hAnsi="Arial" w:cs="Arial"/>
                <w:i/>
                <w:color w:val="000000" w:themeColor="text1"/>
                <w:sz w:val="22"/>
                <w:szCs w:val="22"/>
                <w:lang w:val="en-NZ"/>
              </w:rPr>
              <w:t>Telephone number</w:t>
            </w:r>
          </w:p>
        </w:tc>
        <w:tc>
          <w:tcPr>
            <w:tcW w:w="6186" w:type="dxa"/>
            <w:shd w:val="clear" w:color="auto" w:fill="auto"/>
          </w:tcPr>
          <w:p w14:paraId="3DADC762" w14:textId="5D9FE7C5" w:rsidR="002869DD" w:rsidRPr="00F54A1F" w:rsidRDefault="002869DD" w:rsidP="005F4DDD">
            <w:pPr>
              <w:pStyle w:val="BodyBullet"/>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i/>
                <w:color w:val="000000" w:themeColor="text1"/>
                <w:sz w:val="22"/>
                <w:szCs w:val="22"/>
                <w:lang w:val="en-NZ"/>
              </w:rPr>
            </w:pPr>
          </w:p>
        </w:tc>
      </w:tr>
      <w:tr w:rsidR="002869DD" w14:paraId="7FBE3BE2" w14:textId="77777777" w:rsidTr="005F4DDD">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830" w:type="dxa"/>
            <w:shd w:val="clear" w:color="auto" w:fill="F2F2F2" w:themeFill="background1" w:themeFillShade="F2"/>
          </w:tcPr>
          <w:p w14:paraId="3CA436B1" w14:textId="77777777" w:rsidR="002869DD" w:rsidRPr="00F54A1F" w:rsidRDefault="002869DD" w:rsidP="005F4DDD">
            <w:pPr>
              <w:pStyle w:val="BodyBullet"/>
              <w:spacing w:after="200" w:line="276" w:lineRule="auto"/>
              <w:rPr>
                <w:rFonts w:ascii="Arial" w:hAnsi="Arial" w:cs="Arial"/>
                <w:i/>
                <w:color w:val="000000" w:themeColor="text1"/>
                <w:sz w:val="22"/>
                <w:szCs w:val="22"/>
                <w:lang w:val="en-NZ"/>
              </w:rPr>
            </w:pPr>
            <w:r w:rsidRPr="00F54A1F">
              <w:rPr>
                <w:rFonts w:ascii="Arial" w:hAnsi="Arial" w:cs="Arial"/>
                <w:i/>
                <w:color w:val="000000" w:themeColor="text1"/>
                <w:sz w:val="22"/>
                <w:szCs w:val="22"/>
                <w:lang w:val="en-NZ"/>
              </w:rPr>
              <w:t>Email address</w:t>
            </w:r>
          </w:p>
        </w:tc>
        <w:tc>
          <w:tcPr>
            <w:tcW w:w="6186" w:type="dxa"/>
            <w:shd w:val="clear" w:color="auto" w:fill="auto"/>
          </w:tcPr>
          <w:p w14:paraId="265E03A3" w14:textId="5A8B6454" w:rsidR="002869DD" w:rsidRPr="00F54A1F" w:rsidRDefault="002869DD" w:rsidP="005F4DDD">
            <w:pPr>
              <w:pStyle w:val="BodyBullet"/>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i/>
                <w:color w:val="000000" w:themeColor="text1"/>
                <w:sz w:val="22"/>
                <w:szCs w:val="22"/>
                <w:lang w:val="en-NZ"/>
              </w:rPr>
            </w:pPr>
            <w:bookmarkStart w:id="0" w:name="_GoBack"/>
            <w:bookmarkEnd w:id="0"/>
            <w:r>
              <w:rPr>
                <w:rFonts w:ascii="Arial" w:hAnsi="Arial" w:cs="Arial"/>
                <w:i/>
                <w:color w:val="000000" w:themeColor="text1"/>
                <w:sz w:val="22"/>
                <w:szCs w:val="22"/>
                <w:lang w:val="en-NZ"/>
              </w:rPr>
              <w:t xml:space="preserve"> </w:t>
            </w:r>
          </w:p>
        </w:tc>
      </w:tr>
    </w:tbl>
    <w:p w14:paraId="400C4BBB" w14:textId="77777777" w:rsidR="002869DD" w:rsidRDefault="002869DD" w:rsidP="005F4DDD">
      <w:pPr>
        <w:pStyle w:val="BodyBullet"/>
        <w:spacing w:after="200" w:line="276" w:lineRule="auto"/>
        <w:rPr>
          <w:rFonts w:ascii="Arial" w:hAnsi="Arial" w:cs="Arial"/>
          <w:sz w:val="22"/>
          <w:szCs w:val="22"/>
          <w:lang w:val="en-NZ"/>
        </w:rPr>
      </w:pPr>
    </w:p>
    <w:p w14:paraId="32C21DE0" w14:textId="77777777" w:rsidR="002869DD" w:rsidRPr="007D0A19" w:rsidRDefault="002869DD" w:rsidP="005F4DDD">
      <w:pPr>
        <w:pStyle w:val="BodyBullet"/>
        <w:spacing w:after="200" w:line="276" w:lineRule="auto"/>
        <w:rPr>
          <w:rFonts w:ascii="Arial" w:hAnsi="Arial" w:cs="Arial"/>
          <w:b/>
          <w:sz w:val="22"/>
          <w:szCs w:val="22"/>
        </w:rPr>
      </w:pPr>
      <w:r>
        <w:rPr>
          <w:rFonts w:ascii="Arial" w:hAnsi="Arial" w:cs="Arial"/>
          <w:b/>
          <w:sz w:val="22"/>
          <w:szCs w:val="22"/>
        </w:rPr>
        <w:t xml:space="preserve">Submissions on similar topics </w:t>
      </w:r>
    </w:p>
    <w:tbl>
      <w:tblPr>
        <w:tblStyle w:val="GridTable4-Accent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869DD" w14:paraId="2963EDA6" w14:textId="77777777" w:rsidTr="001052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5C00E527" w14:textId="77777777" w:rsidR="002869DD" w:rsidRPr="001720E5" w:rsidRDefault="002869DD" w:rsidP="00B57173">
            <w:pPr>
              <w:pStyle w:val="BodyBullet"/>
              <w:spacing w:after="200" w:line="276" w:lineRule="auto"/>
              <w:rPr>
                <w:rFonts w:ascii="Arial" w:hAnsi="Arial" w:cs="Arial"/>
                <w:i/>
                <w:sz w:val="22"/>
                <w:szCs w:val="22"/>
              </w:rPr>
            </w:pPr>
            <w:r w:rsidRPr="00C1294E">
              <w:rPr>
                <w:rFonts w:ascii="Arial" w:hAnsi="Arial" w:cs="Arial"/>
                <w:i/>
                <w:sz w:val="22"/>
                <w:szCs w:val="22"/>
              </w:rPr>
              <w:t xml:space="preserve">Please </w:t>
            </w:r>
            <w:r>
              <w:rPr>
                <w:rFonts w:ascii="Arial" w:hAnsi="Arial" w:cs="Arial"/>
                <w:i/>
                <w:sz w:val="22"/>
                <w:szCs w:val="22"/>
              </w:rPr>
              <w:t>indicate any other submissions you have made on relevant topics, noting the particular material or information you think we should be aware of</w:t>
            </w:r>
            <w:r w:rsidRPr="00C1294E">
              <w:rPr>
                <w:rFonts w:ascii="Arial" w:hAnsi="Arial" w:cs="Arial"/>
                <w:i/>
                <w:sz w:val="22"/>
                <w:szCs w:val="22"/>
              </w:rPr>
              <w:t>.</w:t>
            </w:r>
            <w:r w:rsidRPr="001720E5">
              <w:rPr>
                <w:rFonts w:ascii="Arial" w:hAnsi="Arial" w:cs="Arial"/>
                <w:i/>
                <w:sz w:val="22"/>
                <w:szCs w:val="22"/>
              </w:rPr>
              <w:t xml:space="preserve">  </w:t>
            </w:r>
          </w:p>
        </w:tc>
      </w:tr>
      <w:tr w:rsidR="002869DD" w:rsidRPr="00794351" w14:paraId="18898223" w14:textId="77777777" w:rsidTr="001052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79A0C308" w14:textId="77777777" w:rsidR="002869DD" w:rsidRPr="001052DE" w:rsidRDefault="002869DD" w:rsidP="00E40743">
            <w:pPr>
              <w:pStyle w:val="BodyBullet"/>
              <w:spacing w:after="200" w:line="276" w:lineRule="auto"/>
              <w:ind w:left="594"/>
              <w:rPr>
                <w:rFonts w:asciiTheme="minorHAnsi" w:hAnsiTheme="minorHAnsi" w:cstheme="minorHAnsi"/>
                <w:b w:val="0"/>
                <w:bCs w:val="0"/>
                <w:i/>
                <w:sz w:val="23"/>
                <w:szCs w:val="23"/>
              </w:rPr>
            </w:pPr>
            <w:r w:rsidRPr="001052DE">
              <w:rPr>
                <w:rFonts w:asciiTheme="minorHAnsi" w:hAnsiTheme="minorHAnsi" w:cstheme="minorHAnsi"/>
                <w:b w:val="0"/>
                <w:bCs w:val="0"/>
                <w:i/>
                <w:sz w:val="23"/>
                <w:szCs w:val="23"/>
              </w:rPr>
              <w:t>Answer:</w:t>
            </w:r>
          </w:p>
          <w:p w14:paraId="2766FFEC" w14:textId="77777777" w:rsidR="002869DD" w:rsidRPr="001052DE" w:rsidRDefault="002869DD" w:rsidP="007A5E78">
            <w:pPr>
              <w:pStyle w:val="BodyBullet"/>
              <w:spacing w:after="200" w:line="276" w:lineRule="auto"/>
              <w:ind w:left="594"/>
              <w:rPr>
                <w:rFonts w:asciiTheme="minorHAnsi" w:hAnsiTheme="minorHAnsi" w:cstheme="minorHAnsi"/>
                <w:b w:val="0"/>
                <w:bCs w:val="0"/>
                <w:iCs/>
                <w:sz w:val="23"/>
                <w:szCs w:val="23"/>
              </w:rPr>
            </w:pPr>
            <w:r w:rsidRPr="001052DE">
              <w:rPr>
                <w:rFonts w:asciiTheme="minorHAnsi" w:hAnsiTheme="minorHAnsi" w:cstheme="minorHAnsi"/>
                <w:b w:val="0"/>
                <w:bCs w:val="0"/>
                <w:iCs/>
                <w:sz w:val="23"/>
                <w:szCs w:val="23"/>
              </w:rPr>
              <w:t xml:space="preserve">We </w:t>
            </w:r>
            <w:r>
              <w:rPr>
                <w:rFonts w:asciiTheme="minorHAnsi" w:hAnsiTheme="minorHAnsi" w:cstheme="minorHAnsi"/>
                <w:b w:val="0"/>
                <w:bCs w:val="0"/>
                <w:iCs/>
                <w:sz w:val="23"/>
                <w:szCs w:val="23"/>
              </w:rPr>
              <w:t xml:space="preserve">have made many submissions touching on climate change, to various government agencies. We </w:t>
            </w:r>
            <w:r w:rsidRPr="001052DE">
              <w:rPr>
                <w:rFonts w:asciiTheme="minorHAnsi" w:hAnsiTheme="minorHAnsi" w:cstheme="minorHAnsi"/>
                <w:b w:val="0"/>
                <w:bCs w:val="0"/>
                <w:iCs/>
                <w:sz w:val="23"/>
                <w:szCs w:val="23"/>
              </w:rPr>
              <w:t xml:space="preserve">note </w:t>
            </w:r>
            <w:r>
              <w:rPr>
                <w:rFonts w:asciiTheme="minorHAnsi" w:hAnsiTheme="minorHAnsi" w:cstheme="minorHAnsi"/>
                <w:b w:val="0"/>
                <w:bCs w:val="0"/>
                <w:iCs/>
                <w:sz w:val="23"/>
                <w:szCs w:val="23"/>
              </w:rPr>
              <w:t>here several relevant</w:t>
            </w:r>
            <w:r w:rsidRPr="001052DE">
              <w:rPr>
                <w:rFonts w:asciiTheme="minorHAnsi" w:hAnsiTheme="minorHAnsi" w:cstheme="minorHAnsi"/>
                <w:b w:val="0"/>
                <w:bCs w:val="0"/>
                <w:iCs/>
                <w:sz w:val="23"/>
                <w:szCs w:val="23"/>
              </w:rPr>
              <w:t xml:space="preserve"> points from [three] recent submissions from the Centre </w:t>
            </w:r>
            <w:r>
              <w:rPr>
                <w:rFonts w:asciiTheme="minorHAnsi" w:hAnsiTheme="minorHAnsi" w:cstheme="minorHAnsi"/>
                <w:b w:val="0"/>
                <w:bCs w:val="0"/>
                <w:iCs/>
                <w:sz w:val="23"/>
                <w:szCs w:val="23"/>
              </w:rPr>
              <w:t xml:space="preserve">for Sustainable Cities </w:t>
            </w:r>
            <w:r w:rsidRPr="001052DE">
              <w:rPr>
                <w:rFonts w:asciiTheme="minorHAnsi" w:hAnsiTheme="minorHAnsi" w:cstheme="minorHAnsi"/>
                <w:b w:val="0"/>
                <w:bCs w:val="0"/>
                <w:iCs/>
                <w:sz w:val="23"/>
                <w:szCs w:val="23"/>
              </w:rPr>
              <w:t xml:space="preserve">to </w:t>
            </w:r>
            <w:proofErr w:type="spellStart"/>
            <w:r w:rsidRPr="001052DE">
              <w:rPr>
                <w:rFonts w:asciiTheme="minorHAnsi" w:hAnsiTheme="minorHAnsi" w:cstheme="minorHAnsi"/>
                <w:b w:val="0"/>
                <w:bCs w:val="0"/>
                <w:iCs/>
                <w:sz w:val="23"/>
                <w:szCs w:val="23"/>
              </w:rPr>
              <w:t>MfE</w:t>
            </w:r>
            <w:proofErr w:type="spellEnd"/>
            <w:r w:rsidRPr="001052DE">
              <w:rPr>
                <w:rFonts w:asciiTheme="minorHAnsi" w:hAnsiTheme="minorHAnsi" w:cstheme="minorHAnsi"/>
                <w:b w:val="0"/>
                <w:bCs w:val="0"/>
                <w:iCs/>
                <w:sz w:val="23"/>
                <w:szCs w:val="23"/>
              </w:rPr>
              <w:t>/Parliament/ MOT:</w:t>
            </w:r>
          </w:p>
          <w:p w14:paraId="3574B782" w14:textId="77777777" w:rsidR="002869DD" w:rsidRPr="00CC6A6F" w:rsidRDefault="002869DD" w:rsidP="00CC6A6F">
            <w:pPr>
              <w:pStyle w:val="ListParagraph"/>
              <w:numPr>
                <w:ilvl w:val="0"/>
                <w:numId w:val="25"/>
              </w:numPr>
              <w:autoSpaceDE w:val="0"/>
              <w:autoSpaceDN w:val="0"/>
              <w:adjustRightInd w:val="0"/>
              <w:rPr>
                <w:rFonts w:ascii="Segoe UI" w:eastAsiaTheme="minorHAnsi" w:hAnsi="Segoe UI" w:cs="Segoe UI"/>
                <w:i/>
                <w:iCs/>
                <w:sz w:val="20"/>
                <w:szCs w:val="20"/>
                <w:lang w:val="en-NZ"/>
              </w:rPr>
            </w:pPr>
            <w:r w:rsidRPr="00CC6A6F">
              <w:rPr>
                <w:rFonts w:ascii="Segoe UI" w:eastAsiaTheme="minorHAnsi" w:hAnsi="Segoe UI" w:cs="Segoe UI"/>
                <w:i/>
                <w:iCs/>
                <w:sz w:val="20"/>
                <w:szCs w:val="20"/>
                <w:lang w:val="en-NZ"/>
              </w:rPr>
              <w:t>Chapman, R. and Howden-Chapman, P. (2019) Submission to the Ministry for the Environment on a National Policy Statement on Urban Development. Wellington: New Zealand Centre for Sustainable Cities.</w:t>
            </w:r>
          </w:p>
          <w:p w14:paraId="59B0C799" w14:textId="77777777" w:rsidR="002869DD" w:rsidRPr="001052DE" w:rsidRDefault="002869DD" w:rsidP="00E40743">
            <w:pPr>
              <w:pStyle w:val="EndNoteBibliography"/>
              <w:ind w:left="594"/>
              <w:rPr>
                <w:rFonts w:asciiTheme="minorHAnsi" w:hAnsiTheme="minorHAnsi" w:cstheme="minorHAnsi"/>
                <w:b w:val="0"/>
                <w:bCs w:val="0"/>
                <w:sz w:val="23"/>
                <w:szCs w:val="23"/>
              </w:rPr>
            </w:pPr>
          </w:p>
          <w:p w14:paraId="6DE61C75" w14:textId="77777777" w:rsidR="002869DD" w:rsidRPr="001052DE" w:rsidRDefault="002869DD" w:rsidP="00E40743">
            <w:pPr>
              <w:pStyle w:val="EndNoteBibliography"/>
              <w:ind w:left="594"/>
              <w:rPr>
                <w:rFonts w:asciiTheme="minorHAnsi" w:hAnsiTheme="minorHAnsi" w:cstheme="minorHAnsi"/>
                <w:b w:val="0"/>
                <w:bCs w:val="0"/>
                <w:sz w:val="23"/>
                <w:szCs w:val="23"/>
              </w:rPr>
            </w:pPr>
            <w:r w:rsidRPr="001052DE">
              <w:rPr>
                <w:rFonts w:asciiTheme="minorHAnsi" w:hAnsiTheme="minorHAnsi" w:cstheme="minorHAnsi"/>
                <w:b w:val="0"/>
                <w:bCs w:val="0"/>
                <w:sz w:val="23"/>
                <w:szCs w:val="23"/>
              </w:rPr>
              <w:t xml:space="preserve">        Main points:</w:t>
            </w:r>
          </w:p>
          <w:p w14:paraId="2FDEB994" w14:textId="77777777" w:rsidR="002869DD" w:rsidRPr="001052DE" w:rsidRDefault="002869DD" w:rsidP="00E40743">
            <w:pPr>
              <w:pStyle w:val="Default"/>
              <w:ind w:left="594"/>
              <w:rPr>
                <w:rFonts w:asciiTheme="minorHAnsi" w:hAnsiTheme="minorHAnsi" w:cstheme="minorHAnsi"/>
                <w:b w:val="0"/>
                <w:bCs w:val="0"/>
                <w:sz w:val="23"/>
                <w:szCs w:val="23"/>
              </w:rPr>
            </w:pPr>
            <w:r w:rsidRPr="001052DE">
              <w:rPr>
                <w:rFonts w:asciiTheme="minorHAnsi" w:hAnsiTheme="minorHAnsi" w:cstheme="minorHAnsi"/>
                <w:b w:val="0"/>
                <w:bCs w:val="0"/>
                <w:sz w:val="23"/>
                <w:szCs w:val="23"/>
              </w:rPr>
              <w:t xml:space="preserve"> </w:t>
            </w:r>
          </w:p>
          <w:p w14:paraId="0E822D06" w14:textId="77777777" w:rsidR="002869DD" w:rsidRPr="001052DE" w:rsidRDefault="002869DD" w:rsidP="00E40743">
            <w:pPr>
              <w:pStyle w:val="Default"/>
              <w:numPr>
                <w:ilvl w:val="0"/>
                <w:numId w:val="20"/>
              </w:numPr>
              <w:spacing w:after="61"/>
              <w:ind w:left="594"/>
              <w:rPr>
                <w:rFonts w:asciiTheme="minorHAnsi" w:hAnsiTheme="minorHAnsi" w:cstheme="minorHAnsi"/>
                <w:b w:val="0"/>
                <w:bCs w:val="0"/>
                <w:sz w:val="23"/>
                <w:szCs w:val="23"/>
              </w:rPr>
            </w:pPr>
            <w:r w:rsidRPr="001052DE">
              <w:rPr>
                <w:rFonts w:asciiTheme="minorHAnsi" w:hAnsiTheme="minorHAnsi" w:cstheme="minorHAnsi"/>
                <w:b w:val="0"/>
                <w:bCs w:val="0"/>
                <w:sz w:val="23"/>
                <w:szCs w:val="23"/>
              </w:rPr>
              <w:t xml:space="preserve">  The NPS proposal is framed mainly around growth, particularly ‘making room for urban growth’. …in our view, the NPS should be more clearly framed around the high level goals of wellbeing and sustainability, and in particular, environmental sustainability, which means giving high priority to mitigating and, secondarily, adapting to climate change. Climate change is mentioned but under-emphasised in the NPS. </w:t>
            </w:r>
          </w:p>
          <w:p w14:paraId="3305F2E2" w14:textId="77777777" w:rsidR="002869DD" w:rsidRPr="00E80643" w:rsidRDefault="002869DD" w:rsidP="00E40743">
            <w:pPr>
              <w:pStyle w:val="Default"/>
              <w:ind w:left="594"/>
              <w:rPr>
                <w:rFonts w:asciiTheme="minorHAnsi" w:hAnsiTheme="minorHAnsi" w:cstheme="minorHAnsi"/>
                <w:b w:val="0"/>
                <w:bCs w:val="0"/>
                <w:sz w:val="23"/>
                <w:szCs w:val="23"/>
              </w:rPr>
            </w:pPr>
            <w:r w:rsidRPr="001052DE">
              <w:rPr>
                <w:rFonts w:asciiTheme="minorHAnsi" w:hAnsiTheme="minorHAnsi" w:cstheme="minorHAnsi"/>
                <w:b w:val="0"/>
                <w:bCs w:val="0"/>
                <w:sz w:val="23"/>
                <w:szCs w:val="23"/>
              </w:rPr>
              <w:t xml:space="preserve">It is acknowledged that the RMA at present largely excludes mitigation from RMA decision making, other than considering the </w:t>
            </w:r>
            <w:r w:rsidRPr="001052DE">
              <w:rPr>
                <w:rFonts w:asciiTheme="minorHAnsi" w:hAnsiTheme="minorHAnsi" w:cstheme="minorHAnsi"/>
                <w:b w:val="0"/>
                <w:bCs w:val="0"/>
                <w:i/>
                <w:iCs/>
                <w:sz w:val="23"/>
                <w:szCs w:val="23"/>
              </w:rPr>
              <w:t>effects</w:t>
            </w:r>
            <w:r w:rsidRPr="001052DE">
              <w:rPr>
                <w:rFonts w:asciiTheme="minorHAnsi" w:hAnsiTheme="minorHAnsi" w:cstheme="minorHAnsi"/>
                <w:b w:val="0"/>
                <w:bCs w:val="0"/>
                <w:sz w:val="23"/>
                <w:szCs w:val="23"/>
              </w:rPr>
              <w:t xml:space="preserve"> of climate change, following the 2004 amendment to the RMA; however, we also note that this could well change in the </w:t>
            </w:r>
            <w:r w:rsidRPr="00E80643">
              <w:rPr>
                <w:rFonts w:asciiTheme="minorHAnsi" w:hAnsiTheme="minorHAnsi" w:cstheme="minorHAnsi"/>
                <w:b w:val="0"/>
                <w:bCs w:val="0"/>
                <w:sz w:val="23"/>
                <w:szCs w:val="23"/>
              </w:rPr>
              <w:t xml:space="preserve">second round of RMA reforms that Minister Parker may introduce. The NPS should be written to provide maximum congruence with this expected change. Climate change mitigation should meanwhile be given more attention and prominence in this NPS, and not be seen just as a nice-to-have complement to liveability (p.13). </w:t>
            </w:r>
          </w:p>
          <w:p w14:paraId="06438852" w14:textId="77777777" w:rsidR="002869DD" w:rsidRPr="001052DE" w:rsidRDefault="002869DD" w:rsidP="00E40743">
            <w:pPr>
              <w:numPr>
                <w:ilvl w:val="0"/>
                <w:numId w:val="21"/>
              </w:numPr>
              <w:autoSpaceDE w:val="0"/>
              <w:autoSpaceDN w:val="0"/>
              <w:adjustRightInd w:val="0"/>
              <w:ind w:left="594"/>
              <w:rPr>
                <w:rFonts w:asciiTheme="minorHAnsi" w:eastAsiaTheme="minorHAnsi" w:hAnsiTheme="minorHAnsi" w:cstheme="minorHAnsi"/>
                <w:b w:val="0"/>
                <w:bCs w:val="0"/>
                <w:color w:val="000000"/>
                <w:sz w:val="23"/>
                <w:szCs w:val="23"/>
                <w:lang w:val="en-NZ"/>
              </w:rPr>
            </w:pPr>
            <w:r w:rsidRPr="001052DE">
              <w:rPr>
                <w:rFonts w:asciiTheme="minorHAnsi" w:eastAsiaTheme="minorHAnsi" w:hAnsiTheme="minorHAnsi" w:cstheme="minorHAnsi"/>
                <w:b w:val="0"/>
                <w:bCs w:val="0"/>
                <w:color w:val="000000"/>
                <w:sz w:val="23"/>
                <w:szCs w:val="23"/>
                <w:lang w:val="en-NZ"/>
              </w:rPr>
              <w:t xml:space="preserve">  </w:t>
            </w:r>
            <w:r w:rsidRPr="00E80643">
              <w:rPr>
                <w:rFonts w:asciiTheme="minorHAnsi" w:eastAsiaTheme="minorHAnsi" w:hAnsiTheme="minorHAnsi" w:cstheme="minorHAnsi"/>
                <w:b w:val="0"/>
                <w:bCs w:val="0"/>
                <w:color w:val="000000"/>
                <w:sz w:val="23"/>
                <w:szCs w:val="23"/>
                <w:lang w:val="en-NZ"/>
              </w:rPr>
              <w:t xml:space="preserve">A central goal of maximising wellbeing – consistent with the wellbeing approach set out in the 2019 Budget (Robertson, 2019) -- necessitates paying attention to the quality of the urban environment through means such as provision of sufficient and high quality green space, provision for sustainable transport, improving (or maintaining) air and water quality, limiting noise, and other factors which directly influence wellbeing, including health. Providing for economic prosperity through employment and </w:t>
            </w:r>
            <w:proofErr w:type="gramStart"/>
            <w:r w:rsidRPr="00E80643">
              <w:rPr>
                <w:rFonts w:asciiTheme="minorHAnsi" w:eastAsiaTheme="minorHAnsi" w:hAnsiTheme="minorHAnsi" w:cstheme="minorHAnsi"/>
                <w:b w:val="0"/>
                <w:bCs w:val="0"/>
                <w:color w:val="000000"/>
                <w:sz w:val="23"/>
                <w:szCs w:val="23"/>
                <w:lang w:val="en-NZ"/>
              </w:rPr>
              <w:t xml:space="preserve">growth, </w:t>
            </w:r>
            <w:r w:rsidRPr="00E80643">
              <w:rPr>
                <w:rFonts w:asciiTheme="minorHAnsi" w:eastAsiaTheme="minorHAnsi" w:hAnsiTheme="minorHAnsi" w:cstheme="minorHAnsi"/>
                <w:b w:val="0"/>
                <w:bCs w:val="0"/>
                <w:color w:val="000000"/>
                <w:sz w:val="23"/>
                <w:szCs w:val="23"/>
                <w:lang w:val="en-NZ"/>
              </w:rPr>
              <w:lastRenderedPageBreak/>
              <w:t>and</w:t>
            </w:r>
            <w:proofErr w:type="gramEnd"/>
            <w:r w:rsidRPr="00E80643">
              <w:rPr>
                <w:rFonts w:asciiTheme="minorHAnsi" w:eastAsiaTheme="minorHAnsi" w:hAnsiTheme="minorHAnsi" w:cstheme="minorHAnsi"/>
                <w:b w:val="0"/>
                <w:bCs w:val="0"/>
                <w:color w:val="000000"/>
                <w:sz w:val="23"/>
                <w:szCs w:val="23"/>
                <w:lang w:val="en-NZ"/>
              </w:rPr>
              <w:t xml:space="preserve"> providing for various social outcomes such as safe communities, should in our view sit alongside but </w:t>
            </w:r>
            <w:r w:rsidRPr="00E80643">
              <w:rPr>
                <w:rFonts w:asciiTheme="minorHAnsi" w:eastAsiaTheme="minorHAnsi" w:hAnsiTheme="minorHAnsi" w:cstheme="minorHAnsi"/>
                <w:b w:val="0"/>
                <w:bCs w:val="0"/>
                <w:i/>
                <w:iCs/>
                <w:color w:val="000000"/>
                <w:sz w:val="23"/>
                <w:szCs w:val="23"/>
                <w:lang w:val="en-NZ"/>
              </w:rPr>
              <w:t xml:space="preserve">not </w:t>
            </w:r>
            <w:r w:rsidRPr="00E80643">
              <w:rPr>
                <w:rFonts w:asciiTheme="minorHAnsi" w:eastAsiaTheme="minorHAnsi" w:hAnsiTheme="minorHAnsi" w:cstheme="minorHAnsi"/>
                <w:b w:val="0"/>
                <w:bCs w:val="0"/>
                <w:color w:val="000000"/>
                <w:sz w:val="23"/>
                <w:szCs w:val="23"/>
                <w:lang w:val="en-NZ"/>
              </w:rPr>
              <w:t xml:space="preserve">be considered more important than the environmental determinants of wellbeing. The NPS should in our view </w:t>
            </w:r>
            <w:r w:rsidRPr="001052DE">
              <w:rPr>
                <w:rFonts w:asciiTheme="minorHAnsi" w:eastAsiaTheme="minorHAnsi" w:hAnsiTheme="minorHAnsi" w:cstheme="minorHAnsi"/>
                <w:b w:val="0"/>
                <w:bCs w:val="0"/>
                <w:color w:val="000000"/>
                <w:sz w:val="23"/>
                <w:szCs w:val="23"/>
                <w:lang w:val="en-NZ"/>
              </w:rPr>
              <w:t>be</w:t>
            </w:r>
            <w:r w:rsidRPr="00E80643">
              <w:rPr>
                <w:rFonts w:asciiTheme="minorHAnsi" w:eastAsiaTheme="minorHAnsi" w:hAnsiTheme="minorHAnsi" w:cstheme="minorHAnsi"/>
                <w:b w:val="0"/>
                <w:bCs w:val="0"/>
                <w:color w:val="000000"/>
                <w:sz w:val="23"/>
                <w:szCs w:val="23"/>
                <w:lang w:val="en-NZ"/>
              </w:rPr>
              <w:t xml:space="preserve"> reworded to de-emphasise the priority it places on economic outcomes, especially growth. At present, wellbeing is seen as shaping the sort of growth we have (e.g. ‘It [the NPS] aims to enable growth…. [and] will ensure growth is strategically planned and leads to well-functioning cities that contribute positively to people’s well-being’ (p.8)). We believe the framing should be reoriented, with a clear statement that the NPS primarily aims to enable wellbeing and sustainability, and that any growth must conform to these goals. </w:t>
            </w:r>
          </w:p>
          <w:p w14:paraId="67D15873" w14:textId="77777777" w:rsidR="002869DD" w:rsidRPr="001052DE" w:rsidRDefault="002869DD" w:rsidP="00E40743">
            <w:pPr>
              <w:numPr>
                <w:ilvl w:val="0"/>
                <w:numId w:val="21"/>
              </w:numPr>
              <w:autoSpaceDE w:val="0"/>
              <w:autoSpaceDN w:val="0"/>
              <w:adjustRightInd w:val="0"/>
              <w:ind w:left="594"/>
              <w:rPr>
                <w:rFonts w:asciiTheme="minorHAnsi" w:eastAsiaTheme="minorHAnsi" w:hAnsiTheme="minorHAnsi" w:cstheme="minorHAnsi"/>
                <w:b w:val="0"/>
                <w:bCs w:val="0"/>
                <w:color w:val="000000"/>
                <w:sz w:val="23"/>
                <w:szCs w:val="23"/>
                <w:lang w:val="en-NZ"/>
              </w:rPr>
            </w:pPr>
            <w:r w:rsidRPr="001052DE">
              <w:rPr>
                <w:rFonts w:asciiTheme="minorHAnsi" w:eastAsiaTheme="minorHAnsi" w:hAnsiTheme="minorHAnsi" w:cstheme="minorHAnsi"/>
                <w:b w:val="0"/>
                <w:bCs w:val="0"/>
                <w:color w:val="000000"/>
                <w:sz w:val="23"/>
                <w:szCs w:val="23"/>
                <w:lang w:val="en-NZ"/>
              </w:rPr>
              <w:t xml:space="preserve">  The NPS provides no adequate basis for its assertion that the outward spread of NZ cities is needed. By contrast, the NZ Centre for Sustainable Cities has argued in various submissions that upward development is more efficient and sustainable than outward development, on the basis of international experience. Just one good example of the international evidence is </w:t>
            </w:r>
            <w:r>
              <w:rPr>
                <w:rFonts w:asciiTheme="minorHAnsi" w:eastAsiaTheme="minorHAnsi" w:hAnsiTheme="minorHAnsi" w:cstheme="minorHAnsi"/>
                <w:b w:val="0"/>
                <w:bCs w:val="0"/>
                <w:color w:val="000000"/>
                <w:sz w:val="23"/>
                <w:szCs w:val="23"/>
                <w:lang w:val="en-NZ"/>
              </w:rPr>
              <w:t xml:space="preserve">from North America </w:t>
            </w:r>
            <w:r>
              <w:rPr>
                <w:rFonts w:asciiTheme="minorHAnsi" w:eastAsiaTheme="minorHAnsi" w:hAnsiTheme="minorHAnsi" w:cstheme="minorHAnsi"/>
                <w:b w:val="0"/>
                <w:bCs w:val="0"/>
                <w:noProof/>
                <w:color w:val="000000"/>
                <w:sz w:val="23"/>
                <w:szCs w:val="23"/>
                <w:lang w:val="en-NZ"/>
              </w:rPr>
              <w:t>(Lee &amp; Lee, 2014)</w:t>
            </w:r>
            <w:r w:rsidRPr="001052DE">
              <w:rPr>
                <w:rFonts w:asciiTheme="minorHAnsi" w:eastAsiaTheme="minorHAnsi" w:hAnsiTheme="minorHAnsi" w:cstheme="minorHAnsi"/>
                <w:b w:val="0"/>
                <w:bCs w:val="0"/>
                <w:color w:val="000000"/>
                <w:sz w:val="23"/>
                <w:szCs w:val="23"/>
                <w:lang w:val="en-NZ"/>
              </w:rPr>
              <w:t>. For instance, they conclude:</w:t>
            </w:r>
          </w:p>
          <w:p w14:paraId="653B297D" w14:textId="77777777" w:rsidR="002869DD" w:rsidRDefault="002869DD" w:rsidP="00E40743">
            <w:pPr>
              <w:autoSpaceDE w:val="0"/>
              <w:autoSpaceDN w:val="0"/>
              <w:adjustRightInd w:val="0"/>
              <w:ind w:left="594"/>
              <w:rPr>
                <w:rFonts w:asciiTheme="minorHAnsi" w:eastAsiaTheme="minorHAnsi" w:hAnsiTheme="minorHAnsi" w:cstheme="minorHAnsi"/>
                <w:color w:val="000000"/>
                <w:sz w:val="23"/>
                <w:szCs w:val="23"/>
                <w:lang w:val="en-NZ"/>
              </w:rPr>
            </w:pPr>
          </w:p>
          <w:p w14:paraId="29B387F6" w14:textId="77777777" w:rsidR="002869DD" w:rsidRPr="001052DE" w:rsidRDefault="002869DD" w:rsidP="00370818">
            <w:pPr>
              <w:autoSpaceDE w:val="0"/>
              <w:autoSpaceDN w:val="0"/>
              <w:adjustRightInd w:val="0"/>
              <w:ind w:left="1019"/>
              <w:rPr>
                <w:rFonts w:asciiTheme="minorHAnsi" w:eastAsiaTheme="minorHAnsi" w:hAnsiTheme="minorHAnsi" w:cstheme="minorHAnsi"/>
                <w:b w:val="0"/>
                <w:bCs w:val="0"/>
                <w:color w:val="000000"/>
                <w:sz w:val="23"/>
                <w:szCs w:val="23"/>
                <w:lang w:val="en-NZ"/>
              </w:rPr>
            </w:pPr>
            <w:r w:rsidRPr="001052DE">
              <w:rPr>
                <w:rFonts w:asciiTheme="minorHAnsi" w:eastAsiaTheme="minorHAnsi" w:hAnsiTheme="minorHAnsi" w:cstheme="minorHAnsi"/>
                <w:b w:val="0"/>
                <w:bCs w:val="0"/>
                <w:color w:val="000000"/>
                <w:sz w:val="23"/>
                <w:szCs w:val="23"/>
                <w:lang w:val="en-NZ"/>
              </w:rPr>
              <w:t xml:space="preserve">‘Given that household travel and residential energy use account for 42% of total U.S. carbon dioxide emissions, our research findings corroborate that urban land use and transportation policies to build </w:t>
            </w:r>
            <w:r w:rsidRPr="001052DE">
              <w:rPr>
                <w:rFonts w:asciiTheme="minorHAnsi" w:eastAsiaTheme="minorHAnsi" w:hAnsiTheme="minorHAnsi" w:cstheme="minorHAnsi"/>
                <w:b w:val="0"/>
                <w:bCs w:val="0"/>
                <w:i/>
                <w:iCs/>
                <w:color w:val="000000"/>
                <w:sz w:val="23"/>
                <w:szCs w:val="23"/>
                <w:lang w:val="en-NZ"/>
              </w:rPr>
              <w:t>more compact cities</w:t>
            </w:r>
            <w:r w:rsidRPr="001052DE">
              <w:rPr>
                <w:rFonts w:asciiTheme="minorHAnsi" w:eastAsiaTheme="minorHAnsi" w:hAnsiTheme="minorHAnsi" w:cstheme="minorHAnsi"/>
                <w:b w:val="0"/>
                <w:bCs w:val="0"/>
                <w:color w:val="000000"/>
                <w:sz w:val="23"/>
                <w:szCs w:val="23"/>
                <w:lang w:val="en-NZ"/>
              </w:rPr>
              <w:t xml:space="preserve"> should play a crucial part of any strategic efforts to mitigate GHG emissions and stabilize climate at all levels of government.’ (p. 548; emphasis added).</w:t>
            </w:r>
          </w:p>
          <w:p w14:paraId="6773C341" w14:textId="77777777" w:rsidR="002869DD" w:rsidRPr="001052DE" w:rsidRDefault="002869DD" w:rsidP="00370818">
            <w:pPr>
              <w:pStyle w:val="EndNoteBibliography"/>
              <w:ind w:left="1019"/>
              <w:rPr>
                <w:rFonts w:asciiTheme="minorHAnsi" w:hAnsiTheme="minorHAnsi" w:cstheme="minorHAnsi"/>
                <w:b w:val="0"/>
                <w:bCs w:val="0"/>
                <w:sz w:val="23"/>
                <w:szCs w:val="23"/>
              </w:rPr>
            </w:pPr>
          </w:p>
          <w:p w14:paraId="5F167B1D" w14:textId="77777777" w:rsidR="002869DD" w:rsidRPr="001052DE" w:rsidRDefault="002869DD" w:rsidP="00E40743">
            <w:pPr>
              <w:pStyle w:val="EndNoteBibliography"/>
              <w:ind w:left="594"/>
              <w:rPr>
                <w:rFonts w:asciiTheme="minorHAnsi" w:hAnsiTheme="minorHAnsi" w:cstheme="minorHAnsi"/>
                <w:b w:val="0"/>
                <w:bCs w:val="0"/>
                <w:sz w:val="23"/>
                <w:szCs w:val="23"/>
              </w:rPr>
            </w:pPr>
          </w:p>
          <w:p w14:paraId="7C7DF3F4" w14:textId="77777777" w:rsidR="002869DD" w:rsidRPr="001052DE" w:rsidRDefault="002869DD" w:rsidP="007A5E78">
            <w:pPr>
              <w:pStyle w:val="EndNoteBibliography"/>
              <w:numPr>
                <w:ilvl w:val="0"/>
                <w:numId w:val="25"/>
              </w:numPr>
              <w:rPr>
                <w:rFonts w:asciiTheme="minorHAnsi" w:hAnsiTheme="minorHAnsi" w:cstheme="minorHAnsi"/>
                <w:sz w:val="23"/>
                <w:szCs w:val="23"/>
              </w:rPr>
            </w:pPr>
            <w:r w:rsidRPr="001052DE">
              <w:rPr>
                <w:rFonts w:asciiTheme="minorHAnsi" w:hAnsiTheme="minorHAnsi" w:cstheme="minorHAnsi"/>
                <w:sz w:val="23"/>
                <w:szCs w:val="23"/>
              </w:rPr>
              <w:t xml:space="preserve">Chapman, R., Howden-Chapman, P., Randal, E., &amp; Ombler, J. (2019). </w:t>
            </w:r>
            <w:r w:rsidRPr="001052DE">
              <w:rPr>
                <w:rFonts w:asciiTheme="minorHAnsi" w:hAnsiTheme="minorHAnsi" w:cstheme="minorHAnsi"/>
                <w:i/>
                <w:iCs/>
                <w:sz w:val="23"/>
                <w:szCs w:val="23"/>
              </w:rPr>
              <w:t>Submission to the Environment Select Committee on the Climate Change Response (Zero Carbon) Amendment Bill</w:t>
            </w:r>
            <w:r w:rsidRPr="001052DE">
              <w:rPr>
                <w:rFonts w:asciiTheme="minorHAnsi" w:hAnsiTheme="minorHAnsi" w:cstheme="minorHAnsi"/>
                <w:sz w:val="23"/>
                <w:szCs w:val="23"/>
              </w:rPr>
              <w:t>. Wellington: New Zealand Centre for Sustainable Cities.</w:t>
            </w:r>
          </w:p>
          <w:p w14:paraId="0704D17A" w14:textId="77777777" w:rsidR="002869DD" w:rsidRPr="001052DE" w:rsidRDefault="002869DD" w:rsidP="00E40743">
            <w:pPr>
              <w:pStyle w:val="BodyBullet"/>
              <w:spacing w:after="200" w:line="276" w:lineRule="auto"/>
              <w:ind w:left="594"/>
              <w:rPr>
                <w:rFonts w:asciiTheme="minorHAnsi" w:hAnsiTheme="minorHAnsi" w:cstheme="minorHAnsi"/>
                <w:b w:val="0"/>
                <w:bCs w:val="0"/>
                <w:iCs/>
                <w:sz w:val="23"/>
                <w:szCs w:val="23"/>
              </w:rPr>
            </w:pPr>
          </w:p>
          <w:p w14:paraId="5EE4F648" w14:textId="77777777" w:rsidR="002869DD" w:rsidRPr="001052DE" w:rsidRDefault="002869DD" w:rsidP="00E40743">
            <w:pPr>
              <w:pStyle w:val="BodyBullet"/>
              <w:spacing w:after="200" w:line="276" w:lineRule="auto"/>
              <w:ind w:left="594"/>
              <w:rPr>
                <w:rFonts w:asciiTheme="minorHAnsi" w:hAnsiTheme="minorHAnsi" w:cstheme="minorHAnsi"/>
                <w:b w:val="0"/>
                <w:bCs w:val="0"/>
                <w:iCs/>
                <w:sz w:val="23"/>
                <w:szCs w:val="23"/>
              </w:rPr>
            </w:pPr>
            <w:r>
              <w:rPr>
                <w:rFonts w:asciiTheme="minorHAnsi" w:hAnsiTheme="minorHAnsi" w:cstheme="minorHAnsi"/>
                <w:b w:val="0"/>
                <w:bCs w:val="0"/>
                <w:iCs/>
                <w:sz w:val="23"/>
                <w:szCs w:val="23"/>
              </w:rPr>
              <w:t xml:space="preserve">The following point has </w:t>
            </w:r>
            <w:r w:rsidRPr="00CC6A6F">
              <w:rPr>
                <w:rFonts w:asciiTheme="minorHAnsi" w:hAnsiTheme="minorHAnsi" w:cstheme="minorHAnsi"/>
                <w:b w:val="0"/>
                <w:bCs w:val="0"/>
                <w:i/>
                <w:sz w:val="23"/>
                <w:szCs w:val="23"/>
              </w:rPr>
              <w:t>not</w:t>
            </w:r>
            <w:r w:rsidRPr="001052DE">
              <w:rPr>
                <w:rFonts w:asciiTheme="minorHAnsi" w:hAnsiTheme="minorHAnsi" w:cstheme="minorHAnsi"/>
                <w:b w:val="0"/>
                <w:bCs w:val="0"/>
                <w:iCs/>
                <w:sz w:val="23"/>
                <w:szCs w:val="23"/>
              </w:rPr>
              <w:t xml:space="preserve"> </w:t>
            </w:r>
            <w:r>
              <w:rPr>
                <w:rFonts w:asciiTheme="minorHAnsi" w:hAnsiTheme="minorHAnsi" w:cstheme="minorHAnsi"/>
                <w:b w:val="0"/>
                <w:bCs w:val="0"/>
                <w:iCs/>
                <w:sz w:val="23"/>
                <w:szCs w:val="23"/>
              </w:rPr>
              <w:t xml:space="preserve">been </w:t>
            </w:r>
            <w:r w:rsidRPr="001052DE">
              <w:rPr>
                <w:rFonts w:asciiTheme="minorHAnsi" w:hAnsiTheme="minorHAnsi" w:cstheme="minorHAnsi"/>
                <w:b w:val="0"/>
                <w:bCs w:val="0"/>
                <w:iCs/>
                <w:sz w:val="23"/>
                <w:szCs w:val="23"/>
              </w:rPr>
              <w:t>obviated by the passage of the ‘Zero Carbon’ Act:</w:t>
            </w:r>
          </w:p>
          <w:p w14:paraId="10C91481" w14:textId="77777777" w:rsidR="002869DD" w:rsidRPr="001052DE" w:rsidRDefault="002869DD" w:rsidP="00E40743">
            <w:pPr>
              <w:numPr>
                <w:ilvl w:val="0"/>
                <w:numId w:val="21"/>
              </w:numPr>
              <w:autoSpaceDE w:val="0"/>
              <w:autoSpaceDN w:val="0"/>
              <w:adjustRightInd w:val="0"/>
              <w:ind w:left="594"/>
              <w:rPr>
                <w:rFonts w:asciiTheme="minorHAnsi" w:eastAsiaTheme="minorHAnsi" w:hAnsiTheme="minorHAnsi" w:cstheme="minorHAnsi"/>
                <w:b w:val="0"/>
                <w:bCs w:val="0"/>
                <w:color w:val="000000"/>
                <w:sz w:val="23"/>
                <w:szCs w:val="23"/>
                <w:lang w:val="en-NZ"/>
              </w:rPr>
            </w:pPr>
            <w:r w:rsidRPr="001052DE">
              <w:rPr>
                <w:rFonts w:asciiTheme="minorHAnsi" w:eastAsiaTheme="minorHAnsi" w:hAnsiTheme="minorHAnsi" w:cstheme="minorHAnsi"/>
                <w:b w:val="0"/>
                <w:bCs w:val="0"/>
                <w:color w:val="000000"/>
                <w:sz w:val="23"/>
                <w:szCs w:val="23"/>
                <w:lang w:val="en-NZ"/>
              </w:rPr>
              <w:t xml:space="preserve">  Local government has the potential to contribute substantially to both adaptation and mitigation of climate change. However, there is little in the Bill which appears to relate to the responsibility of local government to design and implement mitigation measures, and report to the Commission on these actions. For example, local government will need to play an important role in designing policies and regulation that can contribute to mitigation, through mechanisms such as spatial plans and transport policies that can significantly influence carbon emissions from the building and transport sectors over time. We would like to see explicit attention being given to these matters in the Bill.</w:t>
            </w:r>
          </w:p>
          <w:p w14:paraId="0D24655E" w14:textId="77777777" w:rsidR="002869DD" w:rsidRPr="001052DE" w:rsidRDefault="002869DD" w:rsidP="00752671">
            <w:pPr>
              <w:autoSpaceDE w:val="0"/>
              <w:autoSpaceDN w:val="0"/>
              <w:adjustRightInd w:val="0"/>
              <w:rPr>
                <w:rFonts w:asciiTheme="minorHAnsi" w:eastAsiaTheme="minorHAnsi" w:hAnsiTheme="minorHAnsi" w:cstheme="minorHAnsi"/>
                <w:b w:val="0"/>
                <w:bCs w:val="0"/>
                <w:color w:val="000000"/>
                <w:lang w:val="en-NZ"/>
              </w:rPr>
            </w:pPr>
          </w:p>
          <w:p w14:paraId="48518C15" w14:textId="77777777" w:rsidR="002869DD" w:rsidRPr="001052DE" w:rsidRDefault="002869DD" w:rsidP="00752671">
            <w:pPr>
              <w:pStyle w:val="ListParagraph"/>
              <w:numPr>
                <w:ilvl w:val="0"/>
                <w:numId w:val="25"/>
              </w:numPr>
              <w:autoSpaceDE w:val="0"/>
              <w:autoSpaceDN w:val="0"/>
              <w:adjustRightInd w:val="0"/>
              <w:rPr>
                <w:rFonts w:asciiTheme="minorHAnsi" w:eastAsiaTheme="minorHAnsi" w:hAnsiTheme="minorHAnsi" w:cstheme="minorHAnsi"/>
                <w:color w:val="000000"/>
                <w:lang w:val="en-NZ"/>
              </w:rPr>
            </w:pPr>
            <w:r w:rsidRPr="001052DE">
              <w:rPr>
                <w:rFonts w:ascii="Segoe UI" w:eastAsiaTheme="minorHAnsi" w:hAnsi="Segoe UI" w:cs="Segoe UI"/>
                <w:sz w:val="20"/>
                <w:szCs w:val="20"/>
                <w:lang w:val="en-NZ"/>
              </w:rPr>
              <w:t xml:space="preserve">Shaw, C., N. Wilson, P. Howden-Chapman, E. Randal, R. Chapman, R. Edwards, M. </w:t>
            </w:r>
            <w:proofErr w:type="spellStart"/>
            <w:r w:rsidRPr="001052DE">
              <w:rPr>
                <w:rFonts w:ascii="Segoe UI" w:eastAsiaTheme="minorHAnsi" w:hAnsi="Segoe UI" w:cs="Segoe UI"/>
                <w:sz w:val="20"/>
                <w:szCs w:val="20"/>
                <w:lang w:val="en-NZ"/>
              </w:rPr>
              <w:t>Keall</w:t>
            </w:r>
            <w:proofErr w:type="spellEnd"/>
            <w:r w:rsidRPr="001052DE">
              <w:rPr>
                <w:rFonts w:ascii="Segoe UI" w:eastAsiaTheme="minorHAnsi" w:hAnsi="Segoe UI" w:cs="Segoe UI"/>
                <w:i/>
                <w:iCs/>
                <w:sz w:val="20"/>
                <w:szCs w:val="20"/>
                <w:lang w:val="en-NZ"/>
              </w:rPr>
              <w:t>, et al.</w:t>
            </w:r>
            <w:r w:rsidRPr="001052DE">
              <w:rPr>
                <w:rFonts w:ascii="Segoe UI" w:eastAsiaTheme="minorHAnsi" w:hAnsi="Segoe UI" w:cs="Segoe UI"/>
                <w:sz w:val="20"/>
                <w:szCs w:val="20"/>
                <w:lang w:val="en-NZ"/>
              </w:rPr>
              <w:t xml:space="preserve"> </w:t>
            </w:r>
            <w:r w:rsidRPr="001052DE">
              <w:rPr>
                <w:rFonts w:ascii="Segoe UI" w:eastAsiaTheme="minorHAnsi" w:hAnsi="Segoe UI" w:cs="Segoe UI"/>
                <w:i/>
                <w:iCs/>
                <w:sz w:val="20"/>
                <w:szCs w:val="20"/>
                <w:lang w:val="en-NZ"/>
              </w:rPr>
              <w:t xml:space="preserve">Submission on Draft Government Policy Statement on Land Transport: 2018/19 - 2027/28. </w:t>
            </w:r>
            <w:r w:rsidRPr="001052DE">
              <w:rPr>
                <w:rFonts w:ascii="Segoe UI" w:eastAsiaTheme="minorHAnsi" w:hAnsi="Segoe UI" w:cs="Segoe UI"/>
                <w:sz w:val="20"/>
                <w:szCs w:val="20"/>
                <w:lang w:val="en-NZ"/>
              </w:rPr>
              <w:t>NZ Centre for Sustainable Cities (Wellington: 2018).</w:t>
            </w:r>
          </w:p>
          <w:p w14:paraId="7B77DFA9" w14:textId="77777777" w:rsidR="002869DD" w:rsidRPr="001052DE" w:rsidRDefault="002869DD" w:rsidP="001052DE">
            <w:pPr>
              <w:autoSpaceDE w:val="0"/>
              <w:autoSpaceDN w:val="0"/>
              <w:adjustRightInd w:val="0"/>
              <w:rPr>
                <w:rFonts w:asciiTheme="minorHAnsi" w:eastAsiaTheme="minorHAnsi" w:hAnsiTheme="minorHAnsi" w:cstheme="minorHAnsi"/>
                <w:b w:val="0"/>
                <w:bCs w:val="0"/>
                <w:color w:val="000000"/>
                <w:sz w:val="23"/>
                <w:szCs w:val="23"/>
                <w:lang w:val="en-NZ"/>
              </w:rPr>
            </w:pPr>
          </w:p>
          <w:p w14:paraId="40CC5506" w14:textId="77777777" w:rsidR="002869DD" w:rsidRPr="001052DE" w:rsidRDefault="002869DD" w:rsidP="001052DE">
            <w:pPr>
              <w:autoSpaceDE w:val="0"/>
              <w:autoSpaceDN w:val="0"/>
              <w:adjustRightInd w:val="0"/>
              <w:ind w:left="594"/>
              <w:rPr>
                <w:rFonts w:asciiTheme="minorHAnsi" w:eastAsiaTheme="minorHAnsi" w:hAnsiTheme="minorHAnsi" w:cstheme="minorHAnsi"/>
                <w:b w:val="0"/>
                <w:bCs w:val="0"/>
                <w:color w:val="000000"/>
                <w:sz w:val="23"/>
                <w:szCs w:val="23"/>
                <w:lang w:val="en-NZ"/>
              </w:rPr>
            </w:pPr>
            <w:r w:rsidRPr="001052DE">
              <w:rPr>
                <w:rFonts w:asciiTheme="minorHAnsi" w:eastAsiaTheme="minorHAnsi" w:hAnsiTheme="minorHAnsi" w:cstheme="minorHAnsi"/>
                <w:b w:val="0"/>
                <w:bCs w:val="0"/>
                <w:color w:val="000000"/>
                <w:sz w:val="23"/>
                <w:szCs w:val="23"/>
                <w:lang w:val="en-NZ"/>
              </w:rPr>
              <w:t xml:space="preserve">Main points </w:t>
            </w:r>
            <w:r>
              <w:rPr>
                <w:rFonts w:asciiTheme="minorHAnsi" w:eastAsiaTheme="minorHAnsi" w:hAnsiTheme="minorHAnsi" w:cstheme="minorHAnsi"/>
                <w:b w:val="0"/>
                <w:bCs w:val="0"/>
                <w:color w:val="000000"/>
                <w:sz w:val="23"/>
                <w:szCs w:val="23"/>
                <w:lang w:val="en-NZ"/>
              </w:rPr>
              <w:t>from this document</w:t>
            </w:r>
            <w:r>
              <w:rPr>
                <w:rStyle w:val="FootnoteReference"/>
                <w:rFonts w:asciiTheme="minorHAnsi" w:eastAsiaTheme="minorHAnsi" w:hAnsiTheme="minorHAnsi" w:cstheme="minorHAnsi"/>
                <w:b w:val="0"/>
                <w:bCs w:val="0"/>
                <w:color w:val="000000"/>
                <w:sz w:val="23"/>
                <w:szCs w:val="23"/>
                <w:lang w:val="en-NZ"/>
              </w:rPr>
              <w:footnoteReference w:id="5"/>
            </w:r>
            <w:r>
              <w:rPr>
                <w:rFonts w:asciiTheme="minorHAnsi" w:eastAsiaTheme="minorHAnsi" w:hAnsiTheme="minorHAnsi" w:cstheme="minorHAnsi"/>
                <w:b w:val="0"/>
                <w:bCs w:val="0"/>
                <w:color w:val="000000"/>
                <w:sz w:val="23"/>
                <w:szCs w:val="23"/>
                <w:lang w:val="en-NZ"/>
              </w:rPr>
              <w:t xml:space="preserve"> </w:t>
            </w:r>
            <w:r w:rsidRPr="001052DE">
              <w:rPr>
                <w:rFonts w:asciiTheme="minorHAnsi" w:eastAsiaTheme="minorHAnsi" w:hAnsiTheme="minorHAnsi" w:cstheme="minorHAnsi"/>
                <w:b w:val="0"/>
                <w:bCs w:val="0"/>
                <w:color w:val="000000"/>
                <w:sz w:val="23"/>
                <w:szCs w:val="23"/>
                <w:lang w:val="en-NZ"/>
              </w:rPr>
              <w:t>which are still relevant:</w:t>
            </w:r>
          </w:p>
          <w:p w14:paraId="79E6A01E" w14:textId="77777777" w:rsidR="002869DD" w:rsidRPr="001052DE" w:rsidRDefault="002869DD" w:rsidP="001052DE">
            <w:pPr>
              <w:autoSpaceDE w:val="0"/>
              <w:autoSpaceDN w:val="0"/>
              <w:adjustRightInd w:val="0"/>
              <w:rPr>
                <w:rFonts w:ascii="Calibri" w:eastAsiaTheme="minorHAnsi" w:hAnsi="Calibri" w:cs="Calibri"/>
                <w:b w:val="0"/>
                <w:bCs w:val="0"/>
                <w:color w:val="000000"/>
                <w:lang w:val="en-NZ"/>
              </w:rPr>
            </w:pPr>
          </w:p>
          <w:p w14:paraId="1F99900B" w14:textId="77777777" w:rsidR="002869DD" w:rsidRPr="00417E61" w:rsidRDefault="002869DD" w:rsidP="00417E61">
            <w:pPr>
              <w:pStyle w:val="ListParagraph"/>
              <w:numPr>
                <w:ilvl w:val="0"/>
                <w:numId w:val="28"/>
              </w:numPr>
              <w:autoSpaceDE w:val="0"/>
              <w:autoSpaceDN w:val="0"/>
              <w:adjustRightInd w:val="0"/>
              <w:spacing w:after="30"/>
              <w:ind w:left="878" w:hanging="284"/>
              <w:rPr>
                <w:rFonts w:ascii="Calibri" w:eastAsiaTheme="minorHAnsi" w:hAnsi="Calibri" w:cs="Calibri"/>
                <w:b w:val="0"/>
                <w:bCs w:val="0"/>
                <w:color w:val="000000"/>
                <w:sz w:val="22"/>
                <w:szCs w:val="22"/>
                <w:lang w:val="en-NZ"/>
              </w:rPr>
            </w:pPr>
            <w:r w:rsidRPr="001052DE">
              <w:rPr>
                <w:rFonts w:ascii="Calibri" w:eastAsiaTheme="minorHAnsi" w:hAnsi="Calibri" w:cs="Calibri"/>
                <w:b w:val="0"/>
                <w:bCs w:val="0"/>
                <w:color w:val="000000"/>
                <w:sz w:val="22"/>
                <w:szCs w:val="22"/>
                <w:lang w:val="en-NZ"/>
              </w:rPr>
              <w:lastRenderedPageBreak/>
              <w:t>The inclusion of health and the environment as high level objectives in the strategy will be particularly important when decisions are made that require trade-offs between various objectives. For example</w:t>
            </w:r>
            <w:r>
              <w:rPr>
                <w:rFonts w:ascii="Calibri" w:eastAsiaTheme="minorHAnsi" w:hAnsi="Calibri" w:cs="Calibri"/>
                <w:b w:val="0"/>
                <w:bCs w:val="0"/>
                <w:color w:val="000000"/>
                <w:sz w:val="22"/>
                <w:szCs w:val="22"/>
                <w:lang w:val="en-NZ"/>
              </w:rPr>
              <w:t>,</w:t>
            </w:r>
            <w:r w:rsidRPr="001052DE">
              <w:rPr>
                <w:rFonts w:ascii="Calibri" w:eastAsiaTheme="minorHAnsi" w:hAnsi="Calibri" w:cs="Calibri"/>
                <w:b w:val="0"/>
                <w:bCs w:val="0"/>
                <w:color w:val="000000"/>
                <w:sz w:val="22"/>
                <w:szCs w:val="22"/>
                <w:lang w:val="en-NZ"/>
              </w:rPr>
              <w:t xml:space="preserve"> emphasising EV take-up without an accompanying strategy to reduce car ownership, increase active transport modes and public transport use will fail to achieve the maximum health gains that could be achieved. Biofuel uptake may worsen air pollution and cause health harm</w:t>
            </w:r>
            <w:r>
              <w:rPr>
                <w:rFonts w:ascii="Calibri" w:eastAsiaTheme="minorHAnsi" w:hAnsi="Calibri" w:cs="Calibri"/>
                <w:b w:val="0"/>
                <w:bCs w:val="0"/>
                <w:color w:val="000000"/>
                <w:sz w:val="22"/>
                <w:szCs w:val="22"/>
                <w:lang w:val="en-NZ"/>
              </w:rPr>
              <w:t>,</w:t>
            </w:r>
            <w:r w:rsidRPr="001052DE">
              <w:rPr>
                <w:rFonts w:ascii="Calibri" w:eastAsiaTheme="minorHAnsi" w:hAnsi="Calibri" w:cs="Calibri"/>
                <w:b w:val="0"/>
                <w:bCs w:val="0"/>
                <w:color w:val="000000"/>
                <w:sz w:val="14"/>
                <w:szCs w:val="14"/>
                <w:lang w:val="en-NZ"/>
              </w:rPr>
              <w:t xml:space="preserve"> </w:t>
            </w:r>
            <w:r w:rsidRPr="001052DE">
              <w:rPr>
                <w:rFonts w:ascii="Calibri" w:eastAsiaTheme="minorHAnsi" w:hAnsi="Calibri" w:cs="Calibri"/>
                <w:b w:val="0"/>
                <w:bCs w:val="0"/>
                <w:color w:val="000000"/>
                <w:sz w:val="22"/>
                <w:szCs w:val="22"/>
                <w:lang w:val="en-NZ"/>
              </w:rPr>
              <w:t xml:space="preserve">Including high-level health and environmental objectives will require these trade-offs to be explicitly considered and managed. </w:t>
            </w:r>
          </w:p>
          <w:p w14:paraId="6137B443" w14:textId="77777777" w:rsidR="002869DD" w:rsidRPr="00417E61" w:rsidRDefault="002869DD" w:rsidP="00417E61">
            <w:pPr>
              <w:pStyle w:val="ListParagraph"/>
              <w:numPr>
                <w:ilvl w:val="0"/>
                <w:numId w:val="28"/>
              </w:numPr>
              <w:autoSpaceDE w:val="0"/>
              <w:autoSpaceDN w:val="0"/>
              <w:adjustRightInd w:val="0"/>
              <w:spacing w:after="30"/>
              <w:ind w:left="878" w:hanging="284"/>
              <w:rPr>
                <w:rFonts w:ascii="Calibri" w:eastAsiaTheme="minorHAnsi" w:hAnsi="Calibri" w:cs="Calibri"/>
                <w:b w:val="0"/>
                <w:bCs w:val="0"/>
                <w:color w:val="000000"/>
                <w:sz w:val="22"/>
                <w:szCs w:val="22"/>
                <w:lang w:val="en-NZ"/>
              </w:rPr>
            </w:pPr>
            <w:r w:rsidRPr="00417E61">
              <w:rPr>
                <w:rFonts w:ascii="Calibri" w:eastAsiaTheme="minorHAnsi" w:hAnsi="Calibri" w:cs="Calibri"/>
                <w:b w:val="0"/>
                <w:bCs w:val="0"/>
                <w:color w:val="000000"/>
                <w:sz w:val="22"/>
                <w:szCs w:val="22"/>
                <w:lang w:val="en-NZ"/>
              </w:rPr>
              <w:t>The identification of land use as a key determinant of transport demand is welcome; this is key to decoupling access and mobility</w:t>
            </w:r>
            <w:r>
              <w:rPr>
                <w:rFonts w:ascii="Calibri" w:eastAsiaTheme="minorHAnsi" w:hAnsi="Calibri" w:cs="Calibri"/>
                <w:b w:val="0"/>
                <w:bCs w:val="0"/>
                <w:color w:val="000000"/>
                <w:sz w:val="22"/>
                <w:szCs w:val="22"/>
                <w:lang w:val="en-NZ"/>
              </w:rPr>
              <w:t xml:space="preserve"> </w:t>
            </w:r>
            <w:r>
              <w:rPr>
                <w:rFonts w:ascii="Calibri" w:eastAsiaTheme="minorHAnsi" w:hAnsi="Calibri" w:cs="Calibri"/>
                <w:b w:val="0"/>
                <w:bCs w:val="0"/>
                <w:noProof/>
                <w:color w:val="000000"/>
                <w:sz w:val="22"/>
                <w:szCs w:val="22"/>
                <w:lang w:val="en-NZ"/>
              </w:rPr>
              <w:t>(</w:t>
            </w:r>
            <w:r w:rsidRPr="00C61327">
              <w:rPr>
                <w:rFonts w:ascii="Calibri" w:eastAsiaTheme="minorHAnsi" w:hAnsi="Calibri" w:cs="Calibri"/>
                <w:noProof/>
                <w:color w:val="000000"/>
                <w:sz w:val="22"/>
                <w:szCs w:val="22"/>
                <w:lang w:val="en-NZ"/>
              </w:rPr>
              <w:t>R Chapman, 2018</w:t>
            </w:r>
            <w:r>
              <w:rPr>
                <w:rFonts w:ascii="Calibri" w:eastAsiaTheme="minorHAnsi" w:hAnsi="Calibri" w:cs="Calibri"/>
                <w:b w:val="0"/>
                <w:bCs w:val="0"/>
                <w:noProof/>
                <w:color w:val="000000"/>
                <w:sz w:val="22"/>
                <w:szCs w:val="22"/>
                <w:lang w:val="en-NZ"/>
              </w:rPr>
              <w:t>)</w:t>
            </w:r>
            <w:r w:rsidRPr="00417E61">
              <w:rPr>
                <w:rFonts w:ascii="Calibri" w:eastAsiaTheme="minorHAnsi" w:hAnsi="Calibri" w:cs="Calibri"/>
                <w:b w:val="0"/>
                <w:bCs w:val="0"/>
                <w:color w:val="000000"/>
                <w:sz w:val="22"/>
                <w:szCs w:val="22"/>
                <w:lang w:val="en-NZ"/>
              </w:rPr>
              <w:t>.</w:t>
            </w:r>
            <w:r w:rsidRPr="00417E61">
              <w:rPr>
                <w:rFonts w:ascii="Calibri" w:eastAsiaTheme="minorHAnsi" w:hAnsi="Calibri" w:cs="Calibri"/>
                <w:b w:val="0"/>
                <w:bCs w:val="0"/>
                <w:color w:val="000000"/>
                <w:sz w:val="14"/>
                <w:szCs w:val="14"/>
                <w:lang w:val="en-NZ"/>
              </w:rPr>
              <w:t xml:space="preserve"> </w:t>
            </w:r>
            <w:r w:rsidRPr="00417E61">
              <w:rPr>
                <w:rFonts w:ascii="Calibri" w:eastAsiaTheme="minorHAnsi" w:hAnsi="Calibri" w:cs="Calibri"/>
                <w:b w:val="0"/>
                <w:bCs w:val="0"/>
                <w:color w:val="000000"/>
                <w:sz w:val="22"/>
                <w:szCs w:val="22"/>
                <w:lang w:val="en-NZ"/>
              </w:rPr>
              <w:t>However, further work needs to be done aligning the legislative and policy framework of land transport planning with the other legislation that governs urban planning. The different aims and processes of the Local Government Act, Resource Management Act and Land Transport Management Act do not provide the aligned approach needed to develop resilient, liveable and low carbon cities with sustainable and environmentally</w:t>
            </w:r>
            <w:r>
              <w:rPr>
                <w:rFonts w:ascii="Calibri" w:eastAsiaTheme="minorHAnsi" w:hAnsi="Calibri" w:cs="Calibri"/>
                <w:b w:val="0"/>
                <w:bCs w:val="0"/>
                <w:color w:val="000000"/>
                <w:sz w:val="22"/>
                <w:szCs w:val="22"/>
                <w:lang w:val="en-NZ"/>
              </w:rPr>
              <w:t xml:space="preserve"> </w:t>
            </w:r>
            <w:r w:rsidRPr="00417E61">
              <w:rPr>
                <w:rFonts w:ascii="Calibri" w:eastAsiaTheme="minorHAnsi" w:hAnsi="Calibri" w:cs="Calibri"/>
                <w:b w:val="0"/>
                <w:bCs w:val="0"/>
                <w:color w:val="000000"/>
                <w:sz w:val="22"/>
                <w:szCs w:val="22"/>
                <w:lang w:val="en-NZ"/>
              </w:rPr>
              <w:t xml:space="preserve">friendly transport systems. </w:t>
            </w:r>
          </w:p>
          <w:p w14:paraId="310B4602" w14:textId="77777777" w:rsidR="002869DD" w:rsidRPr="001052DE" w:rsidRDefault="002869DD" w:rsidP="00E40743">
            <w:pPr>
              <w:autoSpaceDE w:val="0"/>
              <w:autoSpaceDN w:val="0"/>
              <w:adjustRightInd w:val="0"/>
              <w:ind w:left="594"/>
              <w:rPr>
                <w:rFonts w:asciiTheme="minorHAnsi" w:hAnsiTheme="minorHAnsi" w:cstheme="minorHAnsi"/>
                <w:b w:val="0"/>
                <w:bCs w:val="0"/>
                <w:iCs/>
                <w:sz w:val="23"/>
                <w:szCs w:val="23"/>
              </w:rPr>
            </w:pPr>
          </w:p>
        </w:tc>
      </w:tr>
    </w:tbl>
    <w:p w14:paraId="6E523029" w14:textId="77777777" w:rsidR="002869DD" w:rsidRDefault="002869DD" w:rsidP="005F4DDD">
      <w:pPr>
        <w:pStyle w:val="BodyBullet"/>
        <w:spacing w:after="200" w:line="276" w:lineRule="auto"/>
        <w:rPr>
          <w:rFonts w:ascii="Arial" w:hAnsi="Arial" w:cs="Arial"/>
          <w:b/>
          <w:sz w:val="22"/>
          <w:szCs w:val="22"/>
        </w:rPr>
      </w:pPr>
    </w:p>
    <w:p w14:paraId="620E7E9E" w14:textId="77777777" w:rsidR="002869DD" w:rsidRPr="007D0A19" w:rsidRDefault="002869DD" w:rsidP="005F4DDD">
      <w:pPr>
        <w:pStyle w:val="BodyBullet"/>
        <w:spacing w:after="200" w:line="276" w:lineRule="auto"/>
        <w:rPr>
          <w:rFonts w:ascii="Arial" w:hAnsi="Arial" w:cs="Arial"/>
          <w:b/>
          <w:sz w:val="22"/>
          <w:szCs w:val="22"/>
        </w:rPr>
      </w:pPr>
      <w:r>
        <w:rPr>
          <w:rFonts w:ascii="Arial" w:hAnsi="Arial" w:cs="Arial"/>
          <w:b/>
          <w:sz w:val="22"/>
          <w:szCs w:val="22"/>
        </w:rPr>
        <w:t>Commercially sensitive information</w:t>
      </w:r>
    </w:p>
    <w:tbl>
      <w:tblPr>
        <w:tblStyle w:val="GridTable4-Accent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869DD" w14:paraId="45651A26" w14:textId="77777777" w:rsidTr="001720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611C58A0" w14:textId="77777777" w:rsidR="002869DD" w:rsidRPr="00BD7B88" w:rsidRDefault="002869DD" w:rsidP="005F4DDD">
            <w:pPr>
              <w:pStyle w:val="BodyBullet"/>
              <w:spacing w:after="200" w:line="276" w:lineRule="auto"/>
              <w:rPr>
                <w:rFonts w:ascii="Arial" w:hAnsi="Arial" w:cs="Arial"/>
                <w:i/>
                <w:sz w:val="22"/>
                <w:szCs w:val="22"/>
                <w:lang w:val="en-NZ"/>
              </w:rPr>
            </w:pPr>
            <w:r w:rsidRPr="00BD7B88">
              <w:rPr>
                <w:rFonts w:ascii="Arial" w:hAnsi="Arial" w:cs="Arial"/>
                <w:i/>
                <w:sz w:val="22"/>
                <w:szCs w:val="22"/>
                <w:lang w:val="en-NZ"/>
              </w:rPr>
              <w:t>Do you have any objection to the release of any information contained in your response, including commercially sensitive information?</w:t>
            </w:r>
          </w:p>
          <w:p w14:paraId="1780DB2D" w14:textId="77777777" w:rsidR="002869DD" w:rsidRPr="00DB233F" w:rsidRDefault="002869DD" w:rsidP="005F4DDD">
            <w:pPr>
              <w:pStyle w:val="BodyBullet"/>
              <w:spacing w:after="200" w:line="276" w:lineRule="auto"/>
              <w:rPr>
                <w:rFonts w:ascii="Arial" w:hAnsi="Arial" w:cs="Arial"/>
                <w:sz w:val="22"/>
                <w:szCs w:val="22"/>
                <w:lang w:val="en-NZ"/>
              </w:rPr>
            </w:pPr>
            <w:r w:rsidRPr="00BD7B88">
              <w:rPr>
                <w:rFonts w:ascii="Arial" w:hAnsi="Arial" w:cs="Arial"/>
                <w:i/>
                <w:sz w:val="22"/>
                <w:szCs w:val="22"/>
                <w:lang w:val="en-NZ"/>
              </w:rPr>
              <w:t>If yes, which part(s) do you consider should be withheld, together with the reason(s) for withholding this information.</w:t>
            </w:r>
          </w:p>
        </w:tc>
      </w:tr>
      <w:tr w:rsidR="002869DD" w14:paraId="0675FC43" w14:textId="77777777" w:rsidTr="00B02FE3">
        <w:trPr>
          <w:cnfStyle w:val="000000100000" w:firstRow="0" w:lastRow="0" w:firstColumn="0" w:lastColumn="0" w:oddVBand="0" w:evenVBand="0" w:oddHBand="1" w:evenHBand="0" w:firstRowFirstColumn="0" w:firstRowLastColumn="0" w:lastRowFirstColumn="0" w:lastRowLastColumn="0"/>
          <w:trHeight w:val="756"/>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52A9049C" w14:textId="77777777" w:rsidR="002869DD" w:rsidRDefault="002869DD" w:rsidP="005F4DDD">
            <w:pPr>
              <w:pStyle w:val="BodyBullet"/>
              <w:spacing w:after="200" w:line="276" w:lineRule="auto"/>
              <w:rPr>
                <w:rFonts w:ascii="Arial" w:hAnsi="Arial" w:cs="Arial"/>
                <w:b w:val="0"/>
                <w:bCs w:val="0"/>
                <w:i/>
                <w:sz w:val="22"/>
                <w:szCs w:val="22"/>
              </w:rPr>
            </w:pPr>
            <w:r>
              <w:rPr>
                <w:rFonts w:ascii="Arial" w:hAnsi="Arial" w:cs="Arial"/>
                <w:i/>
                <w:sz w:val="22"/>
                <w:szCs w:val="22"/>
              </w:rPr>
              <w:t>Answer:</w:t>
            </w:r>
          </w:p>
          <w:p w14:paraId="3922C896" w14:textId="77777777" w:rsidR="002869DD" w:rsidRPr="00CC6A6F" w:rsidRDefault="002869DD" w:rsidP="005F4DDD">
            <w:pPr>
              <w:pStyle w:val="BodyBullet"/>
              <w:spacing w:after="200" w:line="276" w:lineRule="auto"/>
              <w:rPr>
                <w:rFonts w:ascii="Arial" w:hAnsi="Arial" w:cs="Arial"/>
                <w:b w:val="0"/>
                <w:bCs w:val="0"/>
                <w:iCs/>
                <w:sz w:val="22"/>
                <w:szCs w:val="22"/>
              </w:rPr>
            </w:pPr>
            <w:r w:rsidRPr="00CC6A6F">
              <w:rPr>
                <w:rFonts w:ascii="Arial" w:hAnsi="Arial" w:cs="Arial"/>
                <w:b w:val="0"/>
                <w:bCs w:val="0"/>
                <w:iCs/>
                <w:sz w:val="22"/>
                <w:szCs w:val="22"/>
              </w:rPr>
              <w:t>No objection.</w:t>
            </w:r>
          </w:p>
        </w:tc>
      </w:tr>
    </w:tbl>
    <w:p w14:paraId="775B3AAD" w14:textId="77777777" w:rsidR="002869DD" w:rsidRDefault="002869DD" w:rsidP="005F4DDD">
      <w:pPr>
        <w:spacing w:after="160" w:line="259" w:lineRule="auto"/>
        <w:rPr>
          <w:rFonts w:ascii="Arial" w:eastAsia="Arial Unicode MS" w:hAnsi="Arial" w:cs="Arial"/>
          <w:b/>
          <w:color w:val="000000"/>
          <w:sz w:val="22"/>
          <w:szCs w:val="22"/>
          <w:lang w:eastAsia="en-GB"/>
        </w:rPr>
      </w:pPr>
    </w:p>
    <w:p w14:paraId="01E702BA" w14:textId="77777777" w:rsidR="002869DD" w:rsidRDefault="002869DD" w:rsidP="005F4DDD">
      <w:pPr>
        <w:pStyle w:val="BodyBullet"/>
        <w:spacing w:after="200" w:line="276" w:lineRule="auto"/>
        <w:rPr>
          <w:rFonts w:ascii="Arial" w:hAnsi="Arial" w:cs="Arial"/>
          <w:b/>
          <w:sz w:val="28"/>
          <w:szCs w:val="28"/>
        </w:rPr>
      </w:pPr>
      <w:r w:rsidRPr="002854BF">
        <w:rPr>
          <w:rFonts w:ascii="Arial" w:hAnsi="Arial" w:cs="Arial"/>
          <w:b/>
          <w:sz w:val="28"/>
          <w:szCs w:val="28"/>
        </w:rPr>
        <w:t>Questions for consideration:</w:t>
      </w:r>
    </w:p>
    <w:p w14:paraId="1660410F" w14:textId="77777777" w:rsidR="002869DD" w:rsidRPr="00ED107D" w:rsidRDefault="002869DD" w:rsidP="005F4DDD">
      <w:pPr>
        <w:pStyle w:val="BodyBullet"/>
        <w:spacing w:after="200" w:line="276" w:lineRule="auto"/>
        <w:rPr>
          <w:rFonts w:ascii="Arial" w:hAnsi="Arial" w:cs="Arial"/>
          <w:i/>
          <w:sz w:val="22"/>
          <w:szCs w:val="22"/>
        </w:rPr>
      </w:pPr>
      <w:r>
        <w:rPr>
          <w:rFonts w:ascii="Arial" w:hAnsi="Arial" w:cs="Arial"/>
          <w:b/>
          <w:sz w:val="22"/>
          <w:szCs w:val="22"/>
        </w:rPr>
        <w:br/>
        <w:t xml:space="preserve">Section A </w:t>
      </w:r>
      <w:r>
        <w:rPr>
          <w:rFonts w:ascii="Arial" w:hAnsi="Arial" w:cs="Arial"/>
          <w:b/>
          <w:sz w:val="22"/>
          <w:szCs w:val="22"/>
        </w:rPr>
        <w:tab/>
        <w:t>The first three emissions budgets</w:t>
      </w:r>
    </w:p>
    <w:p w14:paraId="05ACABBB" w14:textId="77777777" w:rsidR="002869DD" w:rsidRDefault="002869DD" w:rsidP="005F4DDD">
      <w:pPr>
        <w:pStyle w:val="Body1"/>
        <w:spacing w:before="300" w:after="200" w:line="276" w:lineRule="auto"/>
        <w:rPr>
          <w:rFonts w:ascii="Arial" w:hAnsi="Arial" w:cs="Arial"/>
          <w:sz w:val="22"/>
          <w:szCs w:val="22"/>
          <w:lang w:val="en-NZ"/>
        </w:rPr>
      </w:pPr>
      <w:r>
        <w:rPr>
          <w:rFonts w:ascii="Arial" w:hAnsi="Arial" w:cs="Arial"/>
          <w:sz w:val="22"/>
          <w:szCs w:val="22"/>
          <w:lang w:val="en-NZ"/>
        </w:rPr>
        <w:t xml:space="preserve">Under the proposed Zero Carbon Bill, the proposed Commission will have to provide advice to government on the levels of emissions budgets over the coming decades. </w:t>
      </w:r>
    </w:p>
    <w:p w14:paraId="4C44CFCB" w14:textId="77777777" w:rsidR="002869DD" w:rsidRDefault="002869DD" w:rsidP="005F4DDD">
      <w:pPr>
        <w:pStyle w:val="Body1"/>
        <w:spacing w:before="300" w:after="200" w:line="276" w:lineRule="auto"/>
        <w:rPr>
          <w:rFonts w:ascii="Arial" w:hAnsi="Arial" w:cs="Arial"/>
          <w:sz w:val="22"/>
          <w:szCs w:val="22"/>
          <w:lang w:val="en-NZ"/>
        </w:rPr>
      </w:pPr>
      <w:r>
        <w:rPr>
          <w:rFonts w:ascii="Arial" w:hAnsi="Arial" w:cs="Arial"/>
          <w:sz w:val="22"/>
          <w:szCs w:val="22"/>
          <w:lang w:val="en-NZ"/>
        </w:rPr>
        <w:t xml:space="preserve">Currently, the Zero Carbon Bill requires budgets to be set from 2022-2035 (three separate budgets covering 2022-2025, 2026-2030, and 2031-2035).  When preparing this </w:t>
      </w:r>
      <w:proofErr w:type="gramStart"/>
      <w:r>
        <w:rPr>
          <w:rFonts w:ascii="Arial" w:hAnsi="Arial" w:cs="Arial"/>
          <w:sz w:val="22"/>
          <w:szCs w:val="22"/>
          <w:lang w:val="en-NZ"/>
        </w:rPr>
        <w:t>advice</w:t>
      </w:r>
      <w:proofErr w:type="gramEnd"/>
      <w:r>
        <w:rPr>
          <w:rFonts w:ascii="Arial" w:hAnsi="Arial" w:cs="Arial"/>
          <w:sz w:val="22"/>
          <w:szCs w:val="22"/>
          <w:lang w:val="en-NZ"/>
        </w:rPr>
        <w:t xml:space="preserve"> the proposed Commission will have to consider the implications of those budgets for meeting the 2050 target.  </w:t>
      </w:r>
      <w:r w:rsidRPr="003B7939">
        <w:rPr>
          <w:rFonts w:ascii="Arial" w:hAnsi="Arial" w:cs="Arial"/>
          <w:sz w:val="22"/>
          <w:szCs w:val="22"/>
          <w:lang w:val="en-NZ"/>
        </w:rPr>
        <w:t xml:space="preserve">The Commission will </w:t>
      </w:r>
      <w:r>
        <w:rPr>
          <w:rFonts w:ascii="Arial" w:hAnsi="Arial" w:cs="Arial"/>
          <w:sz w:val="22"/>
          <w:szCs w:val="22"/>
          <w:lang w:val="en-NZ"/>
        </w:rPr>
        <w:t xml:space="preserve">also </w:t>
      </w:r>
      <w:r w:rsidRPr="003B7939">
        <w:rPr>
          <w:rFonts w:ascii="Arial" w:hAnsi="Arial" w:cs="Arial"/>
          <w:sz w:val="22"/>
          <w:szCs w:val="22"/>
          <w:lang w:val="en-NZ"/>
        </w:rPr>
        <w:t>need to consider the likely economic effects (positive and negative) of its advice.</w:t>
      </w:r>
      <w:r>
        <w:rPr>
          <w:rFonts w:ascii="Arial" w:hAnsi="Arial" w:cs="Arial"/>
          <w:sz w:val="22"/>
          <w:szCs w:val="22"/>
          <w:lang w:val="en-NZ"/>
        </w:rPr>
        <w:t xml:space="preserve">  </w:t>
      </w:r>
    </w:p>
    <w:tbl>
      <w:tblPr>
        <w:tblStyle w:val="GridTable4-Accent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869DD" w14:paraId="6BDA7655" w14:textId="77777777" w:rsidTr="001720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06E474B1" w14:textId="77777777" w:rsidR="002869DD" w:rsidRDefault="002869DD" w:rsidP="005F4DDD">
            <w:pPr>
              <w:pStyle w:val="BodyBullet"/>
              <w:spacing w:after="200" w:line="276" w:lineRule="auto"/>
              <w:rPr>
                <w:rFonts w:ascii="Arial" w:hAnsi="Arial" w:cs="Arial"/>
                <w:i/>
                <w:sz w:val="22"/>
                <w:szCs w:val="22"/>
              </w:rPr>
            </w:pPr>
            <w:r>
              <w:rPr>
                <w:rFonts w:ascii="Arial" w:hAnsi="Arial" w:cs="Arial"/>
                <w:i/>
                <w:sz w:val="22"/>
                <w:szCs w:val="22"/>
              </w:rPr>
              <w:t>Question 1:</w:t>
            </w:r>
          </w:p>
          <w:p w14:paraId="055D6AE5" w14:textId="77777777" w:rsidR="002869DD" w:rsidRDefault="002869DD" w:rsidP="005F4DDD">
            <w:pPr>
              <w:pStyle w:val="BodyBullet"/>
              <w:spacing w:after="200" w:line="276" w:lineRule="auto"/>
              <w:rPr>
                <w:rFonts w:ascii="Arial" w:hAnsi="Arial" w:cs="Arial"/>
                <w:i/>
                <w:sz w:val="22"/>
                <w:szCs w:val="22"/>
              </w:rPr>
            </w:pPr>
            <w:r w:rsidRPr="00DE69C7">
              <w:rPr>
                <w:rFonts w:ascii="Arial" w:hAnsi="Arial" w:cs="Arial"/>
                <w:i/>
                <w:sz w:val="22"/>
                <w:szCs w:val="22"/>
              </w:rPr>
              <w:t xml:space="preserve">In </w:t>
            </w:r>
            <w:r>
              <w:rPr>
                <w:rFonts w:ascii="Arial" w:hAnsi="Arial" w:cs="Arial"/>
                <w:i/>
                <w:sz w:val="22"/>
                <w:szCs w:val="22"/>
              </w:rPr>
              <w:t>your</w:t>
            </w:r>
            <w:r w:rsidRPr="00DE69C7">
              <w:rPr>
                <w:rFonts w:ascii="Arial" w:hAnsi="Arial" w:cs="Arial"/>
                <w:i/>
                <w:sz w:val="22"/>
                <w:szCs w:val="22"/>
              </w:rPr>
              <w:t xml:space="preserve"> area </w:t>
            </w:r>
            <w:r>
              <w:rPr>
                <w:rFonts w:ascii="Arial" w:hAnsi="Arial" w:cs="Arial"/>
                <w:i/>
                <w:sz w:val="22"/>
                <w:szCs w:val="22"/>
              </w:rPr>
              <w:t xml:space="preserve">of </w:t>
            </w:r>
            <w:r w:rsidRPr="00DE69C7">
              <w:rPr>
                <w:rFonts w:ascii="Arial" w:hAnsi="Arial" w:cs="Arial"/>
                <w:i/>
                <w:sz w:val="22"/>
                <w:szCs w:val="22"/>
              </w:rPr>
              <w:t>expertise or experience, what</w:t>
            </w:r>
            <w:r w:rsidRPr="00D63806">
              <w:rPr>
                <w:rFonts w:ascii="Arial" w:hAnsi="Arial" w:cs="Arial"/>
                <w:i/>
                <w:sz w:val="22"/>
                <w:szCs w:val="22"/>
              </w:rPr>
              <w:t xml:space="preserve"> are the </w:t>
            </w:r>
            <w:r>
              <w:rPr>
                <w:rFonts w:ascii="Arial" w:hAnsi="Arial" w:cs="Arial"/>
                <w:i/>
                <w:sz w:val="22"/>
                <w:szCs w:val="22"/>
              </w:rPr>
              <w:t xml:space="preserve">specific proven and emerging options to </w:t>
            </w:r>
            <w:r w:rsidRPr="00D63806">
              <w:rPr>
                <w:rFonts w:ascii="Arial" w:hAnsi="Arial" w:cs="Arial"/>
                <w:i/>
                <w:sz w:val="22"/>
                <w:szCs w:val="22"/>
              </w:rPr>
              <w:t>reduc</w:t>
            </w:r>
            <w:r>
              <w:rPr>
                <w:rFonts w:ascii="Arial" w:hAnsi="Arial" w:cs="Arial"/>
                <w:i/>
                <w:sz w:val="22"/>
                <w:szCs w:val="22"/>
              </w:rPr>
              <w:t xml:space="preserve">e </w:t>
            </w:r>
            <w:r w:rsidRPr="00D63806">
              <w:rPr>
                <w:rFonts w:ascii="Arial" w:hAnsi="Arial" w:cs="Arial"/>
                <w:i/>
                <w:sz w:val="22"/>
                <w:szCs w:val="22"/>
              </w:rPr>
              <w:t>emissions to 2035</w:t>
            </w:r>
            <w:r>
              <w:rPr>
                <w:rFonts w:ascii="Arial" w:hAnsi="Arial" w:cs="Arial"/>
                <w:i/>
                <w:sz w:val="22"/>
                <w:szCs w:val="22"/>
              </w:rPr>
              <w:t xml:space="preserve">?  What are the likely costs, benefits and wider </w:t>
            </w:r>
            <w:r>
              <w:rPr>
                <w:rFonts w:ascii="Arial" w:hAnsi="Arial" w:cs="Arial"/>
                <w:i/>
                <w:sz w:val="22"/>
                <w:szCs w:val="22"/>
              </w:rPr>
              <w:lastRenderedPageBreak/>
              <w:t>impacts of these options?  Please provide evidence and/or data to support your assessment.</w:t>
            </w:r>
          </w:p>
        </w:tc>
      </w:tr>
      <w:tr w:rsidR="002869DD" w14:paraId="5B391CA7" w14:textId="77777777" w:rsidTr="001720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36FA7BFD" w14:textId="77777777" w:rsidR="002869DD" w:rsidRDefault="002869DD" w:rsidP="005D2F5A">
            <w:pPr>
              <w:pStyle w:val="BodyBullet"/>
              <w:spacing w:after="200" w:line="276" w:lineRule="auto"/>
              <w:rPr>
                <w:rFonts w:ascii="Arial" w:hAnsi="Arial" w:cs="Arial"/>
                <w:iCs/>
                <w:sz w:val="22"/>
                <w:szCs w:val="22"/>
              </w:rPr>
            </w:pPr>
            <w:r>
              <w:rPr>
                <w:rFonts w:ascii="Arial" w:hAnsi="Arial" w:cs="Arial"/>
                <w:i/>
                <w:sz w:val="22"/>
                <w:szCs w:val="22"/>
              </w:rPr>
              <w:lastRenderedPageBreak/>
              <w:t>Answer</w:t>
            </w:r>
            <w:r w:rsidRPr="00CC22BA">
              <w:rPr>
                <w:rFonts w:ascii="Arial" w:hAnsi="Arial" w:cs="Arial"/>
                <w:b w:val="0"/>
                <w:bCs w:val="0"/>
                <w:iCs/>
                <w:sz w:val="22"/>
                <w:szCs w:val="22"/>
              </w:rPr>
              <w:t xml:space="preserve"> </w:t>
            </w:r>
          </w:p>
          <w:p w14:paraId="42735BF9" w14:textId="77777777" w:rsidR="002869DD" w:rsidRPr="0090760B" w:rsidRDefault="002869DD" w:rsidP="005D2F5A">
            <w:pPr>
              <w:pStyle w:val="BodyBullet"/>
              <w:spacing w:after="200" w:line="276" w:lineRule="auto"/>
              <w:rPr>
                <w:rFonts w:ascii="Arial" w:hAnsi="Arial" w:cs="Arial"/>
                <w:iCs/>
                <w:sz w:val="22"/>
                <w:szCs w:val="22"/>
              </w:rPr>
            </w:pPr>
            <w:r>
              <w:rPr>
                <w:rFonts w:ascii="Arial" w:hAnsi="Arial" w:cs="Arial"/>
                <w:b w:val="0"/>
                <w:bCs w:val="0"/>
                <w:iCs/>
                <w:sz w:val="22"/>
                <w:szCs w:val="22"/>
              </w:rPr>
              <w:t xml:space="preserve">First, we assume ‘costs, benefits and wider impacts’ is meant to include co-benefits (positive or negative). Our work suggests that co-benefits such as benefits for health can dominate CBA assessments, if appropriately analysed </w:t>
            </w:r>
            <w:r w:rsidRPr="0090760B">
              <w:rPr>
                <w:rFonts w:ascii="Arial" w:hAnsi="Arial" w:cs="Arial"/>
                <w:iCs/>
                <w:noProof/>
                <w:sz w:val="22"/>
                <w:szCs w:val="22"/>
              </w:rPr>
              <w:t>(R. Chapman et al., 2018)</w:t>
            </w:r>
            <w:r w:rsidRPr="0090760B">
              <w:rPr>
                <w:rFonts w:ascii="Arial" w:hAnsi="Arial" w:cs="Arial"/>
                <w:iCs/>
                <w:sz w:val="22"/>
                <w:szCs w:val="22"/>
              </w:rPr>
              <w:t xml:space="preserve">. </w:t>
            </w:r>
            <w:r>
              <w:rPr>
                <w:rFonts w:ascii="Arial" w:hAnsi="Arial" w:cs="Arial"/>
                <w:b w:val="0"/>
                <w:bCs w:val="0"/>
                <w:iCs/>
                <w:sz w:val="22"/>
                <w:szCs w:val="22"/>
              </w:rPr>
              <w:t xml:space="preserve">Omitting such co-benefits is also not consistent with the intent of the well-being framework adopted in the 2019 Budget </w:t>
            </w:r>
            <w:r w:rsidRPr="0090760B">
              <w:rPr>
                <w:rFonts w:ascii="Arial" w:hAnsi="Arial" w:cs="Arial"/>
                <w:iCs/>
                <w:noProof/>
                <w:sz w:val="22"/>
                <w:szCs w:val="22"/>
              </w:rPr>
              <w:t>(Philippa Howden-Chapman, Keall, Whitwell, &amp; Chapman, 2020)</w:t>
            </w:r>
            <w:r w:rsidRPr="0090760B">
              <w:rPr>
                <w:rFonts w:ascii="Arial" w:hAnsi="Arial" w:cs="Arial"/>
                <w:iCs/>
                <w:sz w:val="22"/>
                <w:szCs w:val="22"/>
              </w:rPr>
              <w:t xml:space="preserve">. </w:t>
            </w:r>
          </w:p>
          <w:p w14:paraId="5E9C28BC" w14:textId="77777777" w:rsidR="002869DD" w:rsidRPr="00CC22BA" w:rsidRDefault="002869DD" w:rsidP="005D2F5A">
            <w:pPr>
              <w:pStyle w:val="BodyBullet"/>
              <w:spacing w:after="200" w:line="276" w:lineRule="auto"/>
              <w:rPr>
                <w:rFonts w:ascii="Arial" w:hAnsi="Arial" w:cs="Arial"/>
                <w:b w:val="0"/>
                <w:bCs w:val="0"/>
                <w:iCs/>
                <w:sz w:val="22"/>
                <w:szCs w:val="22"/>
              </w:rPr>
            </w:pPr>
            <w:r>
              <w:rPr>
                <w:rFonts w:ascii="Arial" w:hAnsi="Arial" w:cs="Arial"/>
                <w:b w:val="0"/>
                <w:bCs w:val="0"/>
                <w:iCs/>
                <w:sz w:val="22"/>
                <w:szCs w:val="22"/>
              </w:rPr>
              <w:t>Having said this, here are several key points about options in two sectors, transport and residential energy use:</w:t>
            </w:r>
          </w:p>
          <w:p w14:paraId="27D3A6DD" w14:textId="77777777" w:rsidR="002869DD" w:rsidRPr="004C6392" w:rsidRDefault="002869DD" w:rsidP="005D2F5A">
            <w:pPr>
              <w:pStyle w:val="BodyBullet"/>
              <w:numPr>
                <w:ilvl w:val="0"/>
                <w:numId w:val="26"/>
              </w:numPr>
              <w:spacing w:after="200" w:line="276" w:lineRule="auto"/>
              <w:rPr>
                <w:rFonts w:ascii="Arial" w:hAnsi="Arial" w:cs="Arial"/>
                <w:i/>
                <w:sz w:val="22"/>
                <w:szCs w:val="22"/>
              </w:rPr>
            </w:pPr>
            <w:r w:rsidRPr="004C6392">
              <w:rPr>
                <w:rFonts w:ascii="Arial" w:hAnsi="Arial" w:cs="Arial"/>
                <w:i/>
                <w:sz w:val="22"/>
                <w:szCs w:val="22"/>
              </w:rPr>
              <w:t>Transport</w:t>
            </w:r>
            <w:r>
              <w:rPr>
                <w:rFonts w:ascii="Arial" w:hAnsi="Arial" w:cs="Arial"/>
                <w:i/>
                <w:sz w:val="22"/>
                <w:szCs w:val="22"/>
              </w:rPr>
              <w:t xml:space="preserve"> and urban form</w:t>
            </w:r>
            <w:r w:rsidRPr="004C6392">
              <w:rPr>
                <w:rFonts w:ascii="Arial" w:hAnsi="Arial" w:cs="Arial"/>
                <w:i/>
                <w:sz w:val="22"/>
                <w:szCs w:val="22"/>
              </w:rPr>
              <w:t>: ‘avoid, shift and improve’ strategies</w:t>
            </w:r>
          </w:p>
          <w:p w14:paraId="7DB53BB5" w14:textId="77777777" w:rsidR="002869DD" w:rsidRDefault="002869DD" w:rsidP="00752671">
            <w:pPr>
              <w:pStyle w:val="BodyBullet"/>
              <w:spacing w:after="200" w:line="276" w:lineRule="auto"/>
              <w:ind w:left="720"/>
              <w:rPr>
                <w:rFonts w:ascii="Arial" w:hAnsi="Arial" w:cs="Arial"/>
                <w:bCs w:val="0"/>
                <w:sz w:val="22"/>
                <w:szCs w:val="22"/>
              </w:rPr>
            </w:pPr>
            <w:r>
              <w:rPr>
                <w:rFonts w:ascii="Arial" w:hAnsi="Arial" w:cs="Arial"/>
                <w:b w:val="0"/>
                <w:sz w:val="22"/>
                <w:szCs w:val="22"/>
              </w:rPr>
              <w:t xml:space="preserve">Transportation has been the fastest growing (major) source of greenhouse emissions in New Zealand since 1990 (growing over 90%), and transport emissions have failed to decline in the last decade. Underlying growth in vehicle ownership is of concern, given that New Zealand has the highest ownership in the OECD. The 2018 Government Policy Statement on Land Transport and the </w:t>
            </w:r>
            <w:proofErr w:type="spellStart"/>
            <w:r>
              <w:rPr>
                <w:rFonts w:ascii="Arial" w:hAnsi="Arial" w:cs="Arial"/>
                <w:b w:val="0"/>
                <w:sz w:val="22"/>
                <w:szCs w:val="22"/>
              </w:rPr>
              <w:t>MoT’s</w:t>
            </w:r>
            <w:proofErr w:type="spellEnd"/>
            <w:r>
              <w:rPr>
                <w:rFonts w:ascii="Arial" w:hAnsi="Arial" w:cs="Arial"/>
                <w:b w:val="0"/>
                <w:sz w:val="22"/>
                <w:szCs w:val="22"/>
              </w:rPr>
              <w:t xml:space="preserve"> 2019 Transport Outcomes Framework have begun a strategic re-orientation which can be expected to make a significant difference to the shape of transportation systems and urban development over time, bringing down carbon emissions from land transport (if not air travel). Over the period of the critical three decades to 2050, we suspect the most important group of measures will be those which encourage cities to be more compact than otherwise, and with greater mixing of land use, thus avoiding unnecessary trips or limiting travel. There is a wealth of evidence (some reviewed recently by the NZ Productivity Commission) that more compact urban development can reduce emissions (see reference to Lee and Lee (2014) above). </w:t>
            </w:r>
          </w:p>
          <w:p w14:paraId="2CC07D46" w14:textId="77777777" w:rsidR="002869DD" w:rsidRDefault="002869DD" w:rsidP="00752671">
            <w:pPr>
              <w:pStyle w:val="BodyBullet"/>
              <w:spacing w:after="200" w:line="276" w:lineRule="auto"/>
              <w:ind w:left="720"/>
              <w:rPr>
                <w:rFonts w:ascii="Arial" w:hAnsi="Arial" w:cs="Arial"/>
                <w:bCs w:val="0"/>
                <w:sz w:val="22"/>
                <w:szCs w:val="22"/>
              </w:rPr>
            </w:pPr>
            <w:r>
              <w:rPr>
                <w:rFonts w:ascii="Arial" w:hAnsi="Arial" w:cs="Arial"/>
                <w:b w:val="0"/>
                <w:sz w:val="22"/>
                <w:szCs w:val="22"/>
              </w:rPr>
              <w:t xml:space="preserve">While some emission reductions can be expected from these ‘Avoid’ options In the short run (the first three budget periods, to 2035), the bulk of the emission reductions could be expected in the latter half of the period to 2050. In the short-run, to 2035, bigger gains could be expected through mode shifting (following development of active travel and public transport), and through vehicle fuel decarbonisation (with uptake of electric cars and buses, and biofuel and hydrogen-fuel freight movement). This is despite evidence that electric cars are far from zero-carbon vehicles </w:t>
            </w:r>
            <w:r w:rsidRPr="00A871C7">
              <w:rPr>
                <w:rFonts w:ascii="Arial" w:hAnsi="Arial" w:cs="Arial"/>
                <w:bCs w:val="0"/>
                <w:noProof/>
                <w:sz w:val="22"/>
                <w:szCs w:val="22"/>
              </w:rPr>
              <w:t>(Hasan &amp; Chapman, 2019)</w:t>
            </w:r>
            <w:r w:rsidRPr="00A871C7">
              <w:rPr>
                <w:rFonts w:ascii="Arial" w:hAnsi="Arial" w:cs="Arial"/>
                <w:bCs w:val="0"/>
                <w:sz w:val="22"/>
                <w:szCs w:val="22"/>
              </w:rPr>
              <w:t>.</w:t>
            </w:r>
            <w:r>
              <w:rPr>
                <w:rFonts w:ascii="Arial" w:hAnsi="Arial" w:cs="Arial"/>
                <w:b w:val="0"/>
                <w:sz w:val="22"/>
                <w:szCs w:val="22"/>
              </w:rPr>
              <w:t xml:space="preserve"> In addition, measures such as the proposed clean car standard and clean car policies </w:t>
            </w:r>
            <w:r>
              <w:rPr>
                <w:rFonts w:ascii="Arial" w:hAnsi="Arial" w:cs="Arial"/>
                <w:b w:val="0"/>
                <w:noProof/>
                <w:sz w:val="22"/>
                <w:szCs w:val="22"/>
              </w:rPr>
              <w:t>(MoT, 2019)</w:t>
            </w:r>
            <w:r>
              <w:rPr>
                <w:rFonts w:ascii="Arial" w:hAnsi="Arial" w:cs="Arial"/>
                <w:b w:val="0"/>
                <w:sz w:val="22"/>
                <w:szCs w:val="22"/>
              </w:rPr>
              <w:t xml:space="preserve">, and a ban on new petrol and diesel vehicle sales from a date such as 2030 are likely to prove necessary. </w:t>
            </w:r>
          </w:p>
          <w:p w14:paraId="6F92BD45" w14:textId="77777777" w:rsidR="002869DD" w:rsidRDefault="002869DD" w:rsidP="008F7738">
            <w:pPr>
              <w:pStyle w:val="BodyBullet"/>
              <w:numPr>
                <w:ilvl w:val="0"/>
                <w:numId w:val="26"/>
              </w:numPr>
              <w:spacing w:after="200" w:line="276" w:lineRule="auto"/>
              <w:rPr>
                <w:rFonts w:ascii="Arial" w:hAnsi="Arial" w:cs="Arial"/>
                <w:bCs w:val="0"/>
                <w:i/>
                <w:sz w:val="22"/>
                <w:szCs w:val="22"/>
              </w:rPr>
            </w:pPr>
            <w:r>
              <w:rPr>
                <w:rFonts w:ascii="Arial" w:hAnsi="Arial" w:cs="Arial"/>
                <w:bCs w:val="0"/>
                <w:i/>
                <w:sz w:val="22"/>
                <w:szCs w:val="22"/>
              </w:rPr>
              <w:t>Energy efficiency in residential buildings</w:t>
            </w:r>
          </w:p>
          <w:p w14:paraId="6B73EDE9" w14:textId="77777777" w:rsidR="002869DD" w:rsidRPr="004C6392" w:rsidRDefault="002869DD" w:rsidP="008F7738">
            <w:pPr>
              <w:pStyle w:val="BodyBullet"/>
              <w:spacing w:after="200" w:line="276" w:lineRule="auto"/>
              <w:ind w:left="720"/>
              <w:rPr>
                <w:rFonts w:ascii="Arial" w:hAnsi="Arial" w:cs="Arial"/>
                <w:b w:val="0"/>
                <w:bCs w:val="0"/>
                <w:iCs/>
                <w:sz w:val="22"/>
                <w:szCs w:val="22"/>
              </w:rPr>
            </w:pPr>
            <w:r w:rsidRPr="004C6392">
              <w:rPr>
                <w:rFonts w:ascii="Arial" w:hAnsi="Arial" w:cs="Arial"/>
                <w:b w:val="0"/>
                <w:bCs w:val="0"/>
                <w:iCs/>
                <w:sz w:val="22"/>
                <w:szCs w:val="22"/>
              </w:rPr>
              <w:t>Energy efficiency is low hanging fruit for reducing residential emissions. Most housing is</w:t>
            </w:r>
            <w:r>
              <w:rPr>
                <w:rFonts w:ascii="Arial" w:hAnsi="Arial" w:cs="Arial"/>
                <w:b w:val="0"/>
                <w:bCs w:val="0"/>
                <w:iCs/>
                <w:sz w:val="22"/>
                <w:szCs w:val="22"/>
              </w:rPr>
              <w:t xml:space="preserve"> </w:t>
            </w:r>
            <w:r w:rsidRPr="004C6392">
              <w:rPr>
                <w:rFonts w:ascii="Arial" w:hAnsi="Arial" w:cs="Arial"/>
                <w:b w:val="0"/>
                <w:bCs w:val="0"/>
                <w:iCs/>
                <w:sz w:val="22"/>
                <w:szCs w:val="22"/>
              </w:rPr>
              <w:t>old and un</w:t>
            </w:r>
            <w:r>
              <w:rPr>
                <w:rFonts w:ascii="Arial" w:hAnsi="Arial" w:cs="Arial"/>
                <w:b w:val="0"/>
                <w:bCs w:val="0"/>
                <w:iCs/>
                <w:sz w:val="22"/>
                <w:szCs w:val="22"/>
              </w:rPr>
              <w:t>insulated</w:t>
            </w:r>
            <w:r w:rsidRPr="004C6392">
              <w:rPr>
                <w:rFonts w:ascii="Arial" w:hAnsi="Arial" w:cs="Arial"/>
                <w:b w:val="0"/>
                <w:bCs w:val="0"/>
                <w:iCs/>
                <w:sz w:val="22"/>
                <w:szCs w:val="22"/>
              </w:rPr>
              <w:t xml:space="preserve"> or poorly insulated. Housing is a significant energy user with residential</w:t>
            </w:r>
            <w:r>
              <w:rPr>
                <w:rFonts w:ascii="Arial" w:hAnsi="Arial" w:cs="Arial"/>
                <w:b w:val="0"/>
                <w:bCs w:val="0"/>
                <w:iCs/>
                <w:sz w:val="22"/>
                <w:szCs w:val="22"/>
              </w:rPr>
              <w:t xml:space="preserve"> </w:t>
            </w:r>
            <w:r w:rsidRPr="004C6392">
              <w:rPr>
                <w:rFonts w:ascii="Arial" w:hAnsi="Arial" w:cs="Arial"/>
                <w:b w:val="0"/>
                <w:bCs w:val="0"/>
                <w:iCs/>
                <w:sz w:val="22"/>
                <w:szCs w:val="22"/>
              </w:rPr>
              <w:t xml:space="preserve">energy use accounting for 13% of total energy use in New </w:t>
            </w:r>
            <w:r w:rsidRPr="004C6392">
              <w:rPr>
                <w:rFonts w:ascii="Arial" w:hAnsi="Arial" w:cs="Arial"/>
                <w:b w:val="0"/>
                <w:bCs w:val="0"/>
                <w:iCs/>
                <w:sz w:val="22"/>
                <w:szCs w:val="22"/>
              </w:rPr>
              <w:lastRenderedPageBreak/>
              <w:t>Zealand (34% of that is on</w:t>
            </w:r>
            <w:r>
              <w:rPr>
                <w:rFonts w:ascii="Arial" w:hAnsi="Arial" w:cs="Arial"/>
                <w:b w:val="0"/>
                <w:bCs w:val="0"/>
                <w:iCs/>
                <w:sz w:val="22"/>
                <w:szCs w:val="22"/>
              </w:rPr>
              <w:t xml:space="preserve"> </w:t>
            </w:r>
            <w:r w:rsidRPr="004C6392">
              <w:rPr>
                <w:rFonts w:ascii="Arial" w:hAnsi="Arial" w:cs="Arial"/>
                <w:b w:val="0"/>
                <w:bCs w:val="0"/>
                <w:iCs/>
                <w:sz w:val="22"/>
                <w:szCs w:val="22"/>
              </w:rPr>
              <w:t>space heating) which presents a great opportunity to make significant energy efficiency</w:t>
            </w:r>
            <w:r>
              <w:rPr>
                <w:rFonts w:ascii="Arial" w:hAnsi="Arial" w:cs="Arial"/>
                <w:b w:val="0"/>
                <w:bCs w:val="0"/>
                <w:iCs/>
                <w:sz w:val="22"/>
                <w:szCs w:val="22"/>
              </w:rPr>
              <w:t xml:space="preserve"> </w:t>
            </w:r>
            <w:r w:rsidRPr="004C6392">
              <w:rPr>
                <w:rFonts w:ascii="Arial" w:hAnsi="Arial" w:cs="Arial"/>
                <w:b w:val="0"/>
                <w:bCs w:val="0"/>
                <w:iCs/>
                <w:sz w:val="22"/>
                <w:szCs w:val="22"/>
              </w:rPr>
              <w:t>gains by insulating houses properly. Residential heating is most often used on cold winter</w:t>
            </w:r>
            <w:r>
              <w:rPr>
                <w:rFonts w:ascii="Arial" w:hAnsi="Arial" w:cs="Arial"/>
                <w:b w:val="0"/>
                <w:bCs w:val="0"/>
                <w:iCs/>
                <w:sz w:val="22"/>
                <w:szCs w:val="22"/>
              </w:rPr>
              <w:t xml:space="preserve"> </w:t>
            </w:r>
            <w:r w:rsidRPr="004C6392">
              <w:rPr>
                <w:rFonts w:ascii="Arial" w:hAnsi="Arial" w:cs="Arial"/>
                <w:b w:val="0"/>
                <w:bCs w:val="0"/>
                <w:iCs/>
                <w:sz w:val="22"/>
                <w:szCs w:val="22"/>
              </w:rPr>
              <w:t>nights when New Zealand uses peaking thermal generation, so a reduction in the amount</w:t>
            </w:r>
            <w:r>
              <w:rPr>
                <w:rFonts w:ascii="Arial" w:hAnsi="Arial" w:cs="Arial"/>
                <w:b w:val="0"/>
                <w:bCs w:val="0"/>
                <w:iCs/>
                <w:sz w:val="22"/>
                <w:szCs w:val="22"/>
              </w:rPr>
              <w:t xml:space="preserve"> </w:t>
            </w:r>
            <w:r w:rsidRPr="004C6392">
              <w:rPr>
                <w:rFonts w:ascii="Arial" w:hAnsi="Arial" w:cs="Arial"/>
                <w:b w:val="0"/>
                <w:bCs w:val="0"/>
                <w:iCs/>
                <w:sz w:val="22"/>
                <w:szCs w:val="22"/>
              </w:rPr>
              <w:t>of heating needed on winter nights would have a direct effect on energy-system related</w:t>
            </w:r>
            <w:r>
              <w:rPr>
                <w:rFonts w:ascii="Arial" w:hAnsi="Arial" w:cs="Arial"/>
                <w:b w:val="0"/>
                <w:bCs w:val="0"/>
                <w:iCs/>
                <w:sz w:val="22"/>
                <w:szCs w:val="22"/>
              </w:rPr>
              <w:t xml:space="preserve"> </w:t>
            </w:r>
            <w:r w:rsidRPr="004C6392">
              <w:rPr>
                <w:rFonts w:ascii="Arial" w:hAnsi="Arial" w:cs="Arial"/>
                <w:b w:val="0"/>
                <w:bCs w:val="0"/>
                <w:iCs/>
                <w:sz w:val="22"/>
                <w:szCs w:val="22"/>
              </w:rPr>
              <w:t>emissions. Dwellings being warmer may also help reduce emissions from the health</w:t>
            </w:r>
            <w:r>
              <w:rPr>
                <w:rFonts w:ascii="Arial" w:hAnsi="Arial" w:cs="Arial"/>
                <w:b w:val="0"/>
                <w:bCs w:val="0"/>
                <w:iCs/>
                <w:sz w:val="22"/>
                <w:szCs w:val="22"/>
              </w:rPr>
              <w:t xml:space="preserve"> </w:t>
            </w:r>
            <w:r w:rsidRPr="004C6392">
              <w:rPr>
                <w:rFonts w:ascii="Arial" w:hAnsi="Arial" w:cs="Arial"/>
                <w:b w:val="0"/>
                <w:bCs w:val="0"/>
                <w:iCs/>
                <w:sz w:val="22"/>
                <w:szCs w:val="22"/>
              </w:rPr>
              <w:t>system needed to treat illnesses related to cold housing (</w:t>
            </w:r>
            <w:r w:rsidRPr="00A871C7">
              <w:rPr>
                <w:rFonts w:ascii="Arial" w:hAnsi="Arial" w:cs="Arial"/>
                <w:iCs/>
                <w:sz w:val="22"/>
                <w:szCs w:val="22"/>
              </w:rPr>
              <w:t xml:space="preserve">Grimes et al., 2012; </w:t>
            </w:r>
            <w:proofErr w:type="spellStart"/>
            <w:r w:rsidRPr="00A871C7">
              <w:rPr>
                <w:rFonts w:ascii="Arial" w:hAnsi="Arial" w:cs="Arial"/>
                <w:iCs/>
                <w:sz w:val="22"/>
                <w:szCs w:val="22"/>
              </w:rPr>
              <w:t>Ingham</w:t>
            </w:r>
            <w:proofErr w:type="spellEnd"/>
            <w:r w:rsidRPr="00A871C7">
              <w:rPr>
                <w:rFonts w:ascii="Arial" w:hAnsi="Arial" w:cs="Arial"/>
                <w:iCs/>
                <w:sz w:val="22"/>
                <w:szCs w:val="22"/>
              </w:rPr>
              <w:t xml:space="preserve"> et al., 2019; Shorter et al., 2018</w:t>
            </w:r>
            <w:r>
              <w:rPr>
                <w:rFonts w:ascii="Arial" w:hAnsi="Arial" w:cs="Arial"/>
                <w:iCs/>
                <w:sz w:val="22"/>
                <w:szCs w:val="22"/>
              </w:rPr>
              <w:t>; Janson et al., 2019</w:t>
            </w:r>
            <w:r w:rsidR="0060236C">
              <w:rPr>
                <w:rFonts w:ascii="Arial" w:hAnsi="Arial" w:cs="Arial"/>
                <w:iCs/>
                <w:sz w:val="22"/>
                <w:szCs w:val="22"/>
              </w:rPr>
              <w:t>; Malik et al. 2018</w:t>
            </w:r>
            <w:r w:rsidRPr="004C6392">
              <w:rPr>
                <w:rFonts w:ascii="Arial" w:hAnsi="Arial" w:cs="Arial"/>
                <w:b w:val="0"/>
                <w:bCs w:val="0"/>
                <w:iCs/>
                <w:sz w:val="22"/>
                <w:szCs w:val="22"/>
              </w:rPr>
              <w:t>)</w:t>
            </w:r>
            <w:r>
              <w:rPr>
                <w:rFonts w:ascii="Arial" w:hAnsi="Arial" w:cs="Arial"/>
                <w:b w:val="0"/>
                <w:bCs w:val="0"/>
                <w:iCs/>
                <w:sz w:val="22"/>
                <w:szCs w:val="22"/>
              </w:rPr>
              <w:t>.</w:t>
            </w:r>
          </w:p>
          <w:p w14:paraId="597AE892" w14:textId="77777777" w:rsidR="002869DD" w:rsidRDefault="002869DD" w:rsidP="005D2F5A">
            <w:pPr>
              <w:pStyle w:val="BodyBullet"/>
              <w:spacing w:after="200" w:line="276" w:lineRule="auto"/>
              <w:rPr>
                <w:rFonts w:ascii="Arial" w:hAnsi="Arial" w:cs="Arial"/>
                <w:i/>
                <w:sz w:val="22"/>
                <w:szCs w:val="22"/>
              </w:rPr>
            </w:pPr>
          </w:p>
        </w:tc>
      </w:tr>
      <w:tr w:rsidR="002869DD" w14:paraId="463536EC" w14:textId="77777777" w:rsidTr="001720E5">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390D16EC" w14:textId="77777777" w:rsidR="002869DD" w:rsidRPr="00CC22BA" w:rsidRDefault="002869DD" w:rsidP="008F7738">
            <w:pPr>
              <w:pStyle w:val="BodyBullet"/>
              <w:spacing w:after="200" w:line="276" w:lineRule="auto"/>
              <w:ind w:left="720"/>
              <w:rPr>
                <w:rFonts w:ascii="Arial" w:hAnsi="Arial" w:cs="Arial"/>
                <w:b w:val="0"/>
                <w:bCs w:val="0"/>
                <w:iCs/>
                <w:sz w:val="22"/>
                <w:szCs w:val="22"/>
              </w:rPr>
            </w:pPr>
          </w:p>
        </w:tc>
      </w:tr>
    </w:tbl>
    <w:p w14:paraId="0288D7C0" w14:textId="77777777" w:rsidR="002869DD" w:rsidRPr="00DE69C7" w:rsidRDefault="002869DD" w:rsidP="005F4DDD">
      <w:pPr>
        <w:pStyle w:val="Body1"/>
        <w:spacing w:before="300" w:after="200" w:line="276" w:lineRule="auto"/>
        <w:contextualSpacing/>
        <w:rPr>
          <w:rFonts w:ascii="Arial" w:hAnsi="Arial" w:cs="Arial"/>
          <w:sz w:val="22"/>
          <w:szCs w:val="22"/>
          <w:lang w:val="en-NZ"/>
        </w:rPr>
      </w:pPr>
    </w:p>
    <w:tbl>
      <w:tblPr>
        <w:tblStyle w:val="GridTable4-Accent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869DD" w14:paraId="15826C5B" w14:textId="77777777" w:rsidTr="005F4D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56C99653" w14:textId="77777777" w:rsidR="002869DD" w:rsidRPr="002854BF" w:rsidRDefault="002869DD" w:rsidP="005F4DDD">
            <w:pPr>
              <w:pStyle w:val="BodyBullet"/>
              <w:spacing w:after="200" w:line="276" w:lineRule="auto"/>
              <w:rPr>
                <w:rFonts w:ascii="Arial" w:hAnsi="Arial" w:cs="Arial"/>
                <w:i/>
                <w:color w:val="000000" w:themeColor="text1"/>
                <w:sz w:val="22"/>
                <w:szCs w:val="22"/>
              </w:rPr>
            </w:pPr>
            <w:r w:rsidRPr="002854BF">
              <w:rPr>
                <w:rFonts w:ascii="Arial" w:hAnsi="Arial" w:cs="Arial"/>
                <w:i/>
                <w:color w:val="000000" w:themeColor="text1"/>
                <w:sz w:val="22"/>
                <w:szCs w:val="22"/>
              </w:rPr>
              <w:t xml:space="preserve">Question 2: </w:t>
            </w:r>
          </w:p>
          <w:p w14:paraId="0E98C320" w14:textId="77777777" w:rsidR="002869DD" w:rsidRPr="002854BF" w:rsidRDefault="002869DD" w:rsidP="00DA061F">
            <w:pPr>
              <w:pStyle w:val="BodyBullet"/>
              <w:spacing w:after="200" w:line="276" w:lineRule="auto"/>
              <w:rPr>
                <w:rFonts w:ascii="Arial" w:hAnsi="Arial" w:cs="Arial"/>
                <w:i/>
                <w:color w:val="000000" w:themeColor="text1"/>
                <w:sz w:val="22"/>
                <w:szCs w:val="22"/>
              </w:rPr>
            </w:pPr>
            <w:r w:rsidRPr="002854BF">
              <w:rPr>
                <w:rFonts w:ascii="Arial" w:hAnsi="Arial" w:cs="Arial"/>
                <w:i/>
                <w:color w:val="000000" w:themeColor="text1"/>
                <w:sz w:val="22"/>
                <w:szCs w:val="22"/>
              </w:rPr>
              <w:t xml:space="preserve">In your areas of expertise or experience, what actions or interventions may be required by 2035 to prepare for meeting the 2050 target set out in the Bill? Please provide evidence </w:t>
            </w:r>
            <w:r>
              <w:rPr>
                <w:rFonts w:ascii="Arial" w:hAnsi="Arial" w:cs="Arial"/>
                <w:i/>
                <w:color w:val="000000" w:themeColor="text1"/>
                <w:sz w:val="22"/>
                <w:szCs w:val="22"/>
              </w:rPr>
              <w:t>and/or</w:t>
            </w:r>
            <w:r w:rsidRPr="002854BF">
              <w:rPr>
                <w:rFonts w:ascii="Arial" w:hAnsi="Arial" w:cs="Arial"/>
                <w:i/>
                <w:color w:val="000000" w:themeColor="text1"/>
                <w:sz w:val="22"/>
                <w:szCs w:val="22"/>
              </w:rPr>
              <w:t xml:space="preserve"> data to support your assessment.</w:t>
            </w:r>
          </w:p>
        </w:tc>
      </w:tr>
      <w:tr w:rsidR="002869DD" w14:paraId="113AEC85" w14:textId="77777777" w:rsidTr="002854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4783AEB5" w14:textId="77777777" w:rsidR="002869DD" w:rsidRPr="002854BF" w:rsidRDefault="002869DD" w:rsidP="005F4DDD">
            <w:pPr>
              <w:pStyle w:val="BodyBullet"/>
              <w:spacing w:after="200" w:line="276" w:lineRule="auto"/>
              <w:rPr>
                <w:rFonts w:ascii="Arial" w:hAnsi="Arial" w:cs="Arial"/>
                <w:i/>
                <w:color w:val="000000" w:themeColor="text1"/>
                <w:sz w:val="22"/>
                <w:szCs w:val="22"/>
              </w:rPr>
            </w:pPr>
            <w:r w:rsidRPr="002854BF">
              <w:rPr>
                <w:rFonts w:ascii="Arial" w:hAnsi="Arial" w:cs="Arial"/>
                <w:i/>
                <w:color w:val="000000" w:themeColor="text1"/>
                <w:sz w:val="22"/>
                <w:szCs w:val="22"/>
              </w:rPr>
              <w:t xml:space="preserve">Answer: </w:t>
            </w:r>
          </w:p>
          <w:p w14:paraId="21D232D1" w14:textId="77777777" w:rsidR="002869DD" w:rsidRDefault="002869DD" w:rsidP="00A871C7">
            <w:pPr>
              <w:pStyle w:val="BodyBullet"/>
              <w:numPr>
                <w:ilvl w:val="0"/>
                <w:numId w:val="30"/>
              </w:numPr>
              <w:spacing w:after="200" w:line="276" w:lineRule="auto"/>
              <w:rPr>
                <w:rFonts w:ascii="Arial" w:hAnsi="Arial" w:cs="Arial"/>
                <w:iCs/>
                <w:color w:val="000000" w:themeColor="text1"/>
                <w:sz w:val="22"/>
                <w:szCs w:val="22"/>
              </w:rPr>
            </w:pPr>
            <w:r w:rsidRPr="004C6392">
              <w:rPr>
                <w:rFonts w:ascii="Arial" w:hAnsi="Arial" w:cs="Arial"/>
                <w:b w:val="0"/>
                <w:bCs w:val="0"/>
                <w:iCs/>
                <w:color w:val="000000" w:themeColor="text1"/>
                <w:sz w:val="22"/>
                <w:szCs w:val="22"/>
              </w:rPr>
              <w:t xml:space="preserve">The longer-term target (2050) of net zero carbon </w:t>
            </w:r>
            <w:r>
              <w:rPr>
                <w:rFonts w:ascii="Arial" w:hAnsi="Arial" w:cs="Arial"/>
                <w:b w:val="0"/>
                <w:bCs w:val="0"/>
                <w:iCs/>
                <w:color w:val="000000" w:themeColor="text1"/>
                <w:sz w:val="22"/>
                <w:szCs w:val="22"/>
              </w:rPr>
              <w:t>undoubtedly places a large expectation on the transport, cities (built environment) and housing sectors to contribute equitably (and efficiently) to emissions reductions. We see no reason why these sectors should not play a major role in emission reductions, alongside industry, agriculture and waste sectors. It is critical that they initiate preparatory actions to minimise carbon emissions in the 2036-2050 period.</w:t>
            </w:r>
          </w:p>
          <w:p w14:paraId="17F44655" w14:textId="77777777" w:rsidR="002869DD" w:rsidRPr="004C6392" w:rsidRDefault="002869DD" w:rsidP="00A871C7">
            <w:pPr>
              <w:pStyle w:val="BodyBullet"/>
              <w:numPr>
                <w:ilvl w:val="0"/>
                <w:numId w:val="30"/>
              </w:numPr>
              <w:spacing w:after="200" w:line="276" w:lineRule="auto"/>
              <w:rPr>
                <w:rFonts w:ascii="Arial" w:hAnsi="Arial" w:cs="Arial"/>
                <w:b w:val="0"/>
                <w:bCs w:val="0"/>
                <w:iCs/>
                <w:color w:val="000000" w:themeColor="text1"/>
                <w:sz w:val="22"/>
                <w:szCs w:val="22"/>
              </w:rPr>
            </w:pPr>
            <w:r>
              <w:rPr>
                <w:rFonts w:ascii="Arial" w:hAnsi="Arial" w:cs="Arial"/>
                <w:b w:val="0"/>
                <w:bCs w:val="0"/>
                <w:iCs/>
                <w:color w:val="000000" w:themeColor="text1"/>
                <w:sz w:val="22"/>
                <w:szCs w:val="22"/>
              </w:rPr>
              <w:t xml:space="preserve">While the first three budget periods can begin to open up opportunities such as changes in urban form, the latter budget periods to 2050 will provide much greater opportunities for transformation in terms of urban form and transport systems. Certain expectations such as the banning of sales of new fossil fuelled vehicles (perhaps by 2030 but certainly within a later budget period) will help to expedite the necessary transition. Policy action on a vehicle ban would be best aligned with policy action among progressive countries such as those of the EU in order to build international momentum in the transition. </w:t>
            </w:r>
          </w:p>
        </w:tc>
      </w:tr>
      <w:tr w:rsidR="002869DD" w14:paraId="2262E1B4" w14:textId="77777777" w:rsidTr="002854BF">
        <w:tc>
          <w:tcPr>
            <w:cnfStyle w:val="001000000000" w:firstRow="0" w:lastRow="0" w:firstColumn="1" w:lastColumn="0" w:oddVBand="0" w:evenVBand="0" w:oddHBand="0" w:evenHBand="0" w:firstRowFirstColumn="0" w:firstRowLastColumn="0" w:lastRowFirstColumn="0" w:lastRowLastColumn="0"/>
            <w:tcW w:w="9016" w:type="dxa"/>
            <w:shd w:val="clear" w:color="auto" w:fill="F2F2F2" w:themeFill="background1" w:themeFillShade="F2"/>
          </w:tcPr>
          <w:p w14:paraId="1C90624A" w14:textId="77777777" w:rsidR="002869DD" w:rsidRDefault="002869DD" w:rsidP="005F4DDD">
            <w:pPr>
              <w:pStyle w:val="BodyBullet"/>
              <w:spacing w:after="200" w:line="276" w:lineRule="auto"/>
              <w:rPr>
                <w:rFonts w:ascii="Arial" w:hAnsi="Arial" w:cs="Arial"/>
                <w:i/>
                <w:sz w:val="22"/>
                <w:szCs w:val="22"/>
              </w:rPr>
            </w:pPr>
            <w:r>
              <w:rPr>
                <w:rFonts w:ascii="Arial" w:hAnsi="Arial" w:cs="Arial"/>
                <w:i/>
                <w:sz w:val="22"/>
                <w:szCs w:val="22"/>
              </w:rPr>
              <w:t>Question 3:</w:t>
            </w:r>
          </w:p>
          <w:p w14:paraId="6A177EA8" w14:textId="77777777" w:rsidR="002869DD" w:rsidRDefault="002869DD" w:rsidP="00DA061F">
            <w:pPr>
              <w:pStyle w:val="BodyBullet"/>
              <w:spacing w:after="200" w:line="276" w:lineRule="auto"/>
              <w:rPr>
                <w:rFonts w:ascii="Arial" w:hAnsi="Arial" w:cs="Arial"/>
                <w:i/>
                <w:sz w:val="22"/>
                <w:szCs w:val="22"/>
              </w:rPr>
            </w:pPr>
            <w:r w:rsidRPr="00DE69C7">
              <w:rPr>
                <w:rFonts w:ascii="Arial" w:hAnsi="Arial" w:cs="Arial"/>
                <w:i/>
                <w:sz w:val="22"/>
                <w:szCs w:val="22"/>
              </w:rPr>
              <w:t xml:space="preserve">In </w:t>
            </w:r>
            <w:r>
              <w:rPr>
                <w:rFonts w:ascii="Arial" w:hAnsi="Arial" w:cs="Arial"/>
                <w:i/>
                <w:sz w:val="22"/>
                <w:szCs w:val="22"/>
              </w:rPr>
              <w:t xml:space="preserve">your </w:t>
            </w:r>
            <w:r w:rsidRPr="00DE69C7">
              <w:rPr>
                <w:rFonts w:ascii="Arial" w:hAnsi="Arial" w:cs="Arial"/>
                <w:i/>
                <w:sz w:val="22"/>
                <w:szCs w:val="22"/>
              </w:rPr>
              <w:t>areas</w:t>
            </w:r>
            <w:r>
              <w:rPr>
                <w:rFonts w:ascii="Arial" w:hAnsi="Arial" w:cs="Arial"/>
                <w:i/>
                <w:sz w:val="22"/>
                <w:szCs w:val="22"/>
              </w:rPr>
              <w:t xml:space="preserve"> of</w:t>
            </w:r>
            <w:r w:rsidRPr="00DE69C7">
              <w:rPr>
                <w:rFonts w:ascii="Arial" w:hAnsi="Arial" w:cs="Arial"/>
                <w:i/>
                <w:sz w:val="22"/>
                <w:szCs w:val="22"/>
              </w:rPr>
              <w:t xml:space="preserve"> expertise or experience,</w:t>
            </w:r>
            <w:r>
              <w:rPr>
                <w:rFonts w:ascii="Arial" w:hAnsi="Arial" w:cs="Arial"/>
                <w:i/>
                <w:sz w:val="22"/>
                <w:szCs w:val="22"/>
              </w:rPr>
              <w:t xml:space="preserve"> what potential is there for changes in consumer, individual or household behaviour to deliver emissions reductions to 2035? Please provide evidence and/or data to support your assessment.</w:t>
            </w:r>
          </w:p>
        </w:tc>
      </w:tr>
      <w:tr w:rsidR="002869DD" w14:paraId="19752A57" w14:textId="77777777" w:rsidTr="002854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467974BB" w14:textId="77777777" w:rsidR="002869DD" w:rsidRDefault="002869DD" w:rsidP="00CC3C00">
            <w:pPr>
              <w:pStyle w:val="BodyBullet"/>
              <w:spacing w:after="200" w:line="276" w:lineRule="auto"/>
              <w:rPr>
                <w:rFonts w:ascii="Arial" w:hAnsi="Arial" w:cs="Arial"/>
                <w:b w:val="0"/>
                <w:bCs w:val="0"/>
                <w:i/>
                <w:sz w:val="22"/>
                <w:szCs w:val="22"/>
              </w:rPr>
            </w:pPr>
            <w:r>
              <w:rPr>
                <w:rFonts w:ascii="Arial" w:hAnsi="Arial" w:cs="Arial"/>
                <w:i/>
                <w:sz w:val="22"/>
                <w:szCs w:val="22"/>
              </w:rPr>
              <w:t xml:space="preserve">Answer: </w:t>
            </w:r>
          </w:p>
          <w:p w14:paraId="3C800892" w14:textId="77777777" w:rsidR="002869DD" w:rsidRPr="00CC3C00" w:rsidRDefault="002869DD" w:rsidP="00CC3C00">
            <w:pPr>
              <w:pStyle w:val="BodyBullet"/>
              <w:numPr>
                <w:ilvl w:val="0"/>
                <w:numId w:val="32"/>
              </w:numPr>
              <w:spacing w:after="200" w:line="276" w:lineRule="auto"/>
              <w:rPr>
                <w:rFonts w:ascii="Arial" w:hAnsi="Arial" w:cs="Arial"/>
                <w:b w:val="0"/>
                <w:sz w:val="22"/>
                <w:szCs w:val="22"/>
              </w:rPr>
            </w:pPr>
            <w:r>
              <w:rPr>
                <w:rFonts w:ascii="Arial" w:hAnsi="Arial" w:cs="Arial"/>
                <w:b w:val="0"/>
                <w:sz w:val="22"/>
                <w:szCs w:val="22"/>
              </w:rPr>
              <w:t xml:space="preserve">In regard to the residential buildings sector, New Zealand houses are often colder, sometimes much colder </w:t>
            </w:r>
            <w:r>
              <w:rPr>
                <w:rFonts w:ascii="Arial" w:hAnsi="Arial" w:cs="Arial"/>
                <w:noProof/>
                <w:sz w:val="22"/>
                <w:szCs w:val="22"/>
              </w:rPr>
              <w:t>(Isaacs et al., 2010)</w:t>
            </w:r>
            <w:r>
              <w:rPr>
                <w:rFonts w:ascii="Arial" w:hAnsi="Arial" w:cs="Arial"/>
                <w:b w:val="0"/>
                <w:sz w:val="22"/>
                <w:szCs w:val="22"/>
              </w:rPr>
              <w:t xml:space="preserve">, than World Health Organisation recommendations </w:t>
            </w:r>
            <w:r>
              <w:rPr>
                <w:rFonts w:ascii="Arial" w:hAnsi="Arial" w:cs="Arial"/>
                <w:noProof/>
                <w:sz w:val="22"/>
                <w:szCs w:val="22"/>
              </w:rPr>
              <w:t>(World Health Organization, 2018)</w:t>
            </w:r>
            <w:r>
              <w:rPr>
                <w:rFonts w:ascii="Arial" w:hAnsi="Arial" w:cs="Arial"/>
                <w:b w:val="0"/>
                <w:sz w:val="22"/>
                <w:szCs w:val="22"/>
              </w:rPr>
              <w:t xml:space="preserve">. In order to both promote </w:t>
            </w:r>
            <w:r>
              <w:rPr>
                <w:rFonts w:ascii="Arial" w:hAnsi="Arial" w:cs="Arial"/>
                <w:b w:val="0"/>
                <w:sz w:val="22"/>
                <w:szCs w:val="22"/>
              </w:rPr>
              <w:lastRenderedPageBreak/>
              <w:t xml:space="preserve">New Zealanders’ well-being, and reduce the likelihood of emissions savings in residential heating causing increased emissions through the health system if a person becomes ill due to living in a cold/damp/mould dwelling, it is necessary to plan for residential emissions savings to occur through increased residential energy services being obtained from the same energy input </w:t>
            </w:r>
            <w:r>
              <w:rPr>
                <w:rFonts w:ascii="Arial" w:hAnsi="Arial" w:cs="Arial"/>
                <w:noProof/>
                <w:sz w:val="22"/>
                <w:szCs w:val="22"/>
              </w:rPr>
              <w:t>(Ralph Chapman, Howden-Chapman, O'Dea, Viggers, &amp; Kennedy, 2009; P. Howden-Chapman et al., 2008; Lloyd, Callau, Bishop, &amp; Smith, 2008)</w:t>
            </w:r>
            <w:r>
              <w:rPr>
                <w:rFonts w:ascii="Arial" w:hAnsi="Arial" w:cs="Arial"/>
                <w:b w:val="0"/>
                <w:sz w:val="22"/>
                <w:szCs w:val="22"/>
              </w:rPr>
              <w:t xml:space="preserve">, rather than through a reduced energy input which leads to reduced energy services. (Of course, the best option would be reduced energy input leading to increased services, that would require an even bigger investment in materials to increase energy efficiency). </w:t>
            </w:r>
            <w:proofErr w:type="gramStart"/>
            <w:r>
              <w:rPr>
                <w:rFonts w:ascii="Arial" w:hAnsi="Arial" w:cs="Arial"/>
                <w:b w:val="0"/>
                <w:sz w:val="22"/>
                <w:szCs w:val="22"/>
              </w:rPr>
              <w:t>Therefore</w:t>
            </w:r>
            <w:proofErr w:type="gramEnd"/>
            <w:r>
              <w:rPr>
                <w:rFonts w:ascii="Arial" w:hAnsi="Arial" w:cs="Arial"/>
                <w:b w:val="0"/>
                <w:sz w:val="22"/>
                <w:szCs w:val="22"/>
              </w:rPr>
              <w:t xml:space="preserve"> we </w:t>
            </w:r>
            <w:r w:rsidRPr="00CC3C00">
              <w:rPr>
                <w:rFonts w:ascii="Arial" w:hAnsi="Arial" w:cs="Arial"/>
                <w:bCs w:val="0"/>
                <w:i/>
                <w:iCs/>
                <w:sz w:val="22"/>
                <w:szCs w:val="22"/>
              </w:rPr>
              <w:t>do not</w:t>
            </w:r>
            <w:r>
              <w:rPr>
                <w:rFonts w:ascii="Arial" w:hAnsi="Arial" w:cs="Arial"/>
                <w:b w:val="0"/>
                <w:sz w:val="22"/>
                <w:szCs w:val="22"/>
              </w:rPr>
              <w:t xml:space="preserve"> recommend behaviour change as the primary way to reduce carbon emissions due to residential heating, we believe change to the material environment is necessary. </w:t>
            </w:r>
          </w:p>
          <w:p w14:paraId="16D58C54" w14:textId="77777777" w:rsidR="002869DD" w:rsidRPr="00295C09" w:rsidRDefault="002869DD" w:rsidP="00CC3C00">
            <w:pPr>
              <w:pStyle w:val="BodyBullet"/>
              <w:numPr>
                <w:ilvl w:val="0"/>
                <w:numId w:val="32"/>
              </w:numPr>
              <w:spacing w:after="200" w:line="276" w:lineRule="auto"/>
              <w:rPr>
                <w:rFonts w:ascii="Arial" w:hAnsi="Arial" w:cs="Arial"/>
                <w:b w:val="0"/>
                <w:sz w:val="22"/>
                <w:szCs w:val="22"/>
              </w:rPr>
            </w:pPr>
            <w:r>
              <w:rPr>
                <w:rFonts w:ascii="Arial" w:hAnsi="Arial" w:cs="Arial"/>
                <w:b w:val="0"/>
                <w:sz w:val="22"/>
                <w:szCs w:val="22"/>
              </w:rPr>
              <w:t xml:space="preserve">In the transport sector, individual-level mode shifting and consumption decisions are important factors in determining overall carbon footprints. However, more research is needed to determine behavioural responses to emerging mode choices. Some US evidence, for example, suggests that where e-scooters are introduced, there is likely to be a carbon saving if these reduce personal car use, but not if e-scooter use replaces public transport use or active travel </w:t>
            </w:r>
            <w:r>
              <w:rPr>
                <w:rFonts w:ascii="Arial" w:hAnsi="Arial" w:cs="Arial"/>
                <w:b w:val="0"/>
                <w:noProof/>
                <w:sz w:val="22"/>
                <w:szCs w:val="22"/>
              </w:rPr>
              <w:t>(</w:t>
            </w:r>
            <w:r w:rsidRPr="00CC3C00">
              <w:rPr>
                <w:rFonts w:ascii="Arial" w:hAnsi="Arial" w:cs="Arial"/>
                <w:bCs w:val="0"/>
                <w:noProof/>
                <w:sz w:val="22"/>
                <w:szCs w:val="22"/>
              </w:rPr>
              <w:t>J Hollingsworth, B Copeland, &amp; Johnson, 2019</w:t>
            </w:r>
            <w:r>
              <w:rPr>
                <w:rFonts w:ascii="Arial" w:hAnsi="Arial" w:cs="Arial"/>
                <w:b w:val="0"/>
                <w:noProof/>
                <w:sz w:val="22"/>
                <w:szCs w:val="22"/>
              </w:rPr>
              <w:t>)</w:t>
            </w:r>
            <w:r>
              <w:rPr>
                <w:rFonts w:ascii="Arial" w:hAnsi="Arial" w:cs="Arial"/>
                <w:b w:val="0"/>
                <w:sz w:val="22"/>
                <w:szCs w:val="22"/>
              </w:rPr>
              <w:t xml:space="preserve">. </w:t>
            </w:r>
          </w:p>
        </w:tc>
      </w:tr>
    </w:tbl>
    <w:p w14:paraId="3EE60B72" w14:textId="77777777" w:rsidR="002869DD" w:rsidRDefault="002869DD" w:rsidP="005F4DDD">
      <w:pPr>
        <w:pStyle w:val="Body1"/>
        <w:spacing w:before="300" w:after="200" w:line="276" w:lineRule="auto"/>
        <w:contextualSpacing/>
        <w:rPr>
          <w:rFonts w:ascii="Arial" w:hAnsi="Arial" w:cs="Arial"/>
          <w:i/>
          <w:sz w:val="22"/>
          <w:szCs w:val="22"/>
        </w:rPr>
      </w:pPr>
    </w:p>
    <w:tbl>
      <w:tblPr>
        <w:tblStyle w:val="GridTable4-Accent4"/>
        <w:tblW w:w="0" w:type="auto"/>
        <w:tblLook w:val="04A0" w:firstRow="1" w:lastRow="0" w:firstColumn="1" w:lastColumn="0" w:noHBand="0" w:noVBand="1"/>
      </w:tblPr>
      <w:tblGrid>
        <w:gridCol w:w="9016"/>
      </w:tblGrid>
      <w:tr w:rsidR="002869DD" w14:paraId="1A725078" w14:textId="77777777" w:rsidTr="005F4D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A51E4F7" w14:textId="77777777" w:rsidR="002869DD" w:rsidRDefault="002869DD" w:rsidP="005F4DDD">
            <w:pPr>
              <w:pStyle w:val="BodyBullet"/>
              <w:spacing w:after="200" w:line="276" w:lineRule="auto"/>
              <w:rPr>
                <w:rFonts w:ascii="Arial" w:hAnsi="Arial" w:cs="Arial"/>
                <w:i/>
                <w:sz w:val="22"/>
                <w:szCs w:val="22"/>
              </w:rPr>
            </w:pPr>
            <w:r>
              <w:rPr>
                <w:rFonts w:ascii="Arial" w:hAnsi="Arial" w:cs="Arial"/>
                <w:i/>
                <w:sz w:val="22"/>
                <w:szCs w:val="22"/>
              </w:rPr>
              <w:t xml:space="preserve">Question 4: </w:t>
            </w:r>
          </w:p>
          <w:p w14:paraId="52C99552" w14:textId="77777777" w:rsidR="002869DD" w:rsidRDefault="002869DD" w:rsidP="00A75CE0">
            <w:pPr>
              <w:pStyle w:val="BodyBullet"/>
              <w:spacing w:after="200" w:line="276" w:lineRule="auto"/>
              <w:rPr>
                <w:rFonts w:ascii="Arial" w:hAnsi="Arial" w:cs="Arial"/>
                <w:i/>
                <w:sz w:val="22"/>
                <w:szCs w:val="22"/>
              </w:rPr>
            </w:pPr>
            <w:r>
              <w:rPr>
                <w:rFonts w:ascii="Arial" w:hAnsi="Arial" w:cs="Arial"/>
                <w:i/>
                <w:sz w:val="22"/>
                <w:szCs w:val="22"/>
              </w:rPr>
              <w:t xml:space="preserve">When advising on the first three emissions budgets and how to achieve the 2050 target, what do you think </w:t>
            </w:r>
            <w:r w:rsidRPr="00ED107D">
              <w:rPr>
                <w:rFonts w:ascii="Arial" w:hAnsi="Arial" w:cs="Arial"/>
                <w:i/>
                <w:sz w:val="22"/>
                <w:szCs w:val="22"/>
              </w:rPr>
              <w:t xml:space="preserve">the </w:t>
            </w:r>
            <w:r>
              <w:rPr>
                <w:rFonts w:ascii="Arial" w:hAnsi="Arial" w:cs="Arial"/>
                <w:i/>
                <w:sz w:val="22"/>
                <w:szCs w:val="22"/>
              </w:rPr>
              <w:t xml:space="preserve">proposed </w:t>
            </w:r>
            <w:r w:rsidRPr="00ED107D">
              <w:rPr>
                <w:rFonts w:ascii="Arial" w:hAnsi="Arial" w:cs="Arial"/>
                <w:i/>
                <w:sz w:val="22"/>
                <w:szCs w:val="22"/>
              </w:rPr>
              <w:t>Commission</w:t>
            </w:r>
            <w:r>
              <w:rPr>
                <w:rFonts w:ascii="Arial" w:hAnsi="Arial" w:cs="Arial"/>
                <w:i/>
                <w:sz w:val="22"/>
                <w:szCs w:val="22"/>
              </w:rPr>
              <w:t xml:space="preserve"> should</w:t>
            </w:r>
            <w:r w:rsidRPr="00ED107D">
              <w:rPr>
                <w:rFonts w:ascii="Arial" w:hAnsi="Arial" w:cs="Arial"/>
                <w:i/>
                <w:sz w:val="22"/>
                <w:szCs w:val="22"/>
              </w:rPr>
              <w:t xml:space="preserve"> </w:t>
            </w:r>
            <w:r>
              <w:rPr>
                <w:rFonts w:ascii="Arial" w:hAnsi="Arial" w:cs="Arial"/>
                <w:i/>
                <w:sz w:val="22"/>
                <w:szCs w:val="22"/>
              </w:rPr>
              <w:t xml:space="preserve">take into account when considering </w:t>
            </w:r>
            <w:r w:rsidRPr="00ED107D">
              <w:rPr>
                <w:rFonts w:ascii="Arial" w:hAnsi="Arial" w:cs="Arial"/>
                <w:i/>
                <w:sz w:val="22"/>
                <w:szCs w:val="22"/>
              </w:rPr>
              <w:t xml:space="preserve">the </w:t>
            </w:r>
            <w:r>
              <w:rPr>
                <w:rFonts w:ascii="Arial" w:hAnsi="Arial" w:cs="Arial"/>
                <w:i/>
                <w:sz w:val="22"/>
                <w:szCs w:val="22"/>
              </w:rPr>
              <w:t>balance between reducing greenhouse gas emissions and removing carbon dioxide from the atmosphere (including via forestry)?</w:t>
            </w:r>
          </w:p>
        </w:tc>
      </w:tr>
      <w:tr w:rsidR="002869DD" w14:paraId="03322460" w14:textId="77777777" w:rsidTr="002854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top w:val="single" w:sz="4" w:space="0" w:color="auto"/>
              <w:left w:val="single" w:sz="4" w:space="0" w:color="auto"/>
              <w:bottom w:val="single" w:sz="4" w:space="0" w:color="auto"/>
              <w:right w:val="single" w:sz="4" w:space="0" w:color="auto"/>
            </w:tcBorders>
            <w:shd w:val="clear" w:color="auto" w:fill="auto"/>
          </w:tcPr>
          <w:p w14:paraId="2E85D1BA" w14:textId="77777777" w:rsidR="002869DD" w:rsidRDefault="002869DD" w:rsidP="005F4DDD">
            <w:pPr>
              <w:pStyle w:val="BodyBullet"/>
              <w:spacing w:after="200" w:line="276" w:lineRule="auto"/>
              <w:rPr>
                <w:rFonts w:ascii="Arial" w:hAnsi="Arial" w:cs="Arial"/>
                <w:i/>
                <w:sz w:val="22"/>
                <w:szCs w:val="22"/>
              </w:rPr>
            </w:pPr>
            <w:r>
              <w:rPr>
                <w:rFonts w:ascii="Arial" w:hAnsi="Arial" w:cs="Arial"/>
                <w:i/>
                <w:sz w:val="22"/>
                <w:szCs w:val="22"/>
              </w:rPr>
              <w:t xml:space="preserve">Answer: </w:t>
            </w:r>
          </w:p>
          <w:p w14:paraId="5ECBA702" w14:textId="77777777" w:rsidR="002869DD" w:rsidRPr="00D17EB6" w:rsidRDefault="002869DD" w:rsidP="00CC3C00">
            <w:pPr>
              <w:pStyle w:val="BodyBullet"/>
              <w:numPr>
                <w:ilvl w:val="0"/>
                <w:numId w:val="33"/>
              </w:numPr>
              <w:spacing w:after="200" w:line="276" w:lineRule="auto"/>
              <w:rPr>
                <w:rFonts w:ascii="Arial" w:hAnsi="Arial" w:cs="Arial"/>
                <w:b w:val="0"/>
                <w:bCs w:val="0"/>
                <w:iCs/>
                <w:sz w:val="22"/>
                <w:szCs w:val="22"/>
              </w:rPr>
            </w:pPr>
            <w:r w:rsidRPr="00CC3C00">
              <w:rPr>
                <w:rFonts w:ascii="Arial" w:hAnsi="Arial" w:cs="Arial"/>
                <w:b w:val="0"/>
                <w:bCs w:val="0"/>
                <w:iCs/>
                <w:sz w:val="22"/>
                <w:szCs w:val="22"/>
              </w:rPr>
              <w:t>This is outside the immediate domain of the Centre for Sustainable Cities, but we suggest two considerations</w:t>
            </w:r>
            <w:r>
              <w:rPr>
                <w:rFonts w:ascii="Arial" w:hAnsi="Arial" w:cs="Arial"/>
                <w:b w:val="0"/>
                <w:bCs w:val="0"/>
                <w:iCs/>
                <w:sz w:val="22"/>
                <w:szCs w:val="22"/>
              </w:rPr>
              <w:t>.</w:t>
            </w:r>
          </w:p>
          <w:p w14:paraId="45D2DAC8" w14:textId="77777777" w:rsidR="002869DD" w:rsidRPr="00D17EB6" w:rsidRDefault="002869DD" w:rsidP="00CC3C00">
            <w:pPr>
              <w:pStyle w:val="BodyBullet"/>
              <w:numPr>
                <w:ilvl w:val="0"/>
                <w:numId w:val="33"/>
              </w:numPr>
              <w:spacing w:after="200" w:line="276" w:lineRule="auto"/>
              <w:rPr>
                <w:rFonts w:ascii="Arial" w:hAnsi="Arial" w:cs="Arial"/>
                <w:b w:val="0"/>
                <w:bCs w:val="0"/>
                <w:iCs/>
                <w:sz w:val="22"/>
                <w:szCs w:val="22"/>
              </w:rPr>
            </w:pPr>
            <w:r>
              <w:rPr>
                <w:rFonts w:ascii="Arial" w:hAnsi="Arial" w:cs="Arial"/>
                <w:b w:val="0"/>
                <w:bCs w:val="0"/>
                <w:iCs/>
                <w:sz w:val="22"/>
                <w:szCs w:val="22"/>
              </w:rPr>
              <w:t xml:space="preserve">First, as a matter of policy experience, excessive reliance on removals by sinks runs the risk of deferring the rapid transformation of the New Zealand economy to zero carbon. This has been seen since the Kyoto Protocol (1997). </w:t>
            </w:r>
          </w:p>
          <w:p w14:paraId="45200971" w14:textId="77777777" w:rsidR="002869DD" w:rsidRPr="00CC3C00" w:rsidRDefault="002869DD" w:rsidP="00CC3C00">
            <w:pPr>
              <w:pStyle w:val="BodyBullet"/>
              <w:numPr>
                <w:ilvl w:val="0"/>
                <w:numId w:val="33"/>
              </w:numPr>
              <w:spacing w:after="200" w:line="276" w:lineRule="auto"/>
              <w:rPr>
                <w:rFonts w:ascii="Arial" w:hAnsi="Arial" w:cs="Arial"/>
                <w:b w:val="0"/>
                <w:bCs w:val="0"/>
                <w:iCs/>
                <w:sz w:val="22"/>
                <w:szCs w:val="22"/>
              </w:rPr>
            </w:pPr>
            <w:r>
              <w:rPr>
                <w:rFonts w:ascii="Arial" w:hAnsi="Arial" w:cs="Arial"/>
                <w:b w:val="0"/>
                <w:bCs w:val="0"/>
                <w:iCs/>
                <w:sz w:val="22"/>
                <w:szCs w:val="22"/>
              </w:rPr>
              <w:t xml:space="preserve">Second, we support the analysis by the PCE, Hon Simon Upton, that there is a logic in balancing biogenic GHG emissions with biogenic carbon sinks, but </w:t>
            </w:r>
            <w:r w:rsidRPr="00D17EB6">
              <w:rPr>
                <w:rFonts w:ascii="Arial" w:hAnsi="Arial" w:cs="Arial"/>
                <w:i/>
                <w:sz w:val="22"/>
                <w:szCs w:val="22"/>
              </w:rPr>
              <w:t>not</w:t>
            </w:r>
            <w:r>
              <w:rPr>
                <w:rFonts w:ascii="Arial" w:hAnsi="Arial" w:cs="Arial"/>
                <w:b w:val="0"/>
                <w:bCs w:val="0"/>
                <w:iCs/>
                <w:sz w:val="22"/>
                <w:szCs w:val="22"/>
              </w:rPr>
              <w:t xml:space="preserve"> in balancing fossil emissions with biogenic sinks. </w:t>
            </w:r>
          </w:p>
          <w:p w14:paraId="79170545" w14:textId="77777777" w:rsidR="002869DD" w:rsidRPr="00CC3C00" w:rsidRDefault="002869DD" w:rsidP="005F4DDD">
            <w:pPr>
              <w:pStyle w:val="BodyBullet"/>
              <w:spacing w:after="200" w:line="276" w:lineRule="auto"/>
              <w:rPr>
                <w:rFonts w:ascii="Arial" w:hAnsi="Arial" w:cs="Arial"/>
                <w:iCs/>
                <w:sz w:val="22"/>
                <w:szCs w:val="22"/>
              </w:rPr>
            </w:pPr>
          </w:p>
        </w:tc>
      </w:tr>
    </w:tbl>
    <w:p w14:paraId="35AA378A" w14:textId="77777777" w:rsidR="002869DD" w:rsidRPr="00DE69C7" w:rsidRDefault="002869DD" w:rsidP="005F4DDD">
      <w:pPr>
        <w:pStyle w:val="Body1"/>
        <w:spacing w:before="300" w:after="200" w:line="276" w:lineRule="auto"/>
        <w:contextualSpacing/>
        <w:rPr>
          <w:rFonts w:ascii="Arial" w:hAnsi="Arial" w:cs="Arial"/>
          <w:sz w:val="22"/>
          <w:szCs w:val="22"/>
          <w:lang w:val="en-NZ"/>
        </w:rPr>
      </w:pPr>
    </w:p>
    <w:tbl>
      <w:tblPr>
        <w:tblStyle w:val="GridTable4-Accent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869DD" w14:paraId="3BADFB58" w14:textId="77777777" w:rsidTr="002854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5E21799B" w14:textId="77777777" w:rsidR="002869DD" w:rsidRDefault="002869DD" w:rsidP="005F4DDD">
            <w:pPr>
              <w:pStyle w:val="BodyBullet"/>
              <w:spacing w:after="200" w:line="276" w:lineRule="auto"/>
              <w:rPr>
                <w:rFonts w:ascii="Arial" w:hAnsi="Arial" w:cs="Arial"/>
                <w:i/>
                <w:sz w:val="22"/>
                <w:szCs w:val="22"/>
              </w:rPr>
            </w:pPr>
            <w:r>
              <w:rPr>
                <w:rFonts w:ascii="Arial" w:hAnsi="Arial" w:cs="Arial"/>
                <w:i/>
                <w:sz w:val="22"/>
                <w:szCs w:val="22"/>
              </w:rPr>
              <w:lastRenderedPageBreak/>
              <w:t xml:space="preserve">Question 5: </w:t>
            </w:r>
          </w:p>
          <w:p w14:paraId="4543234C" w14:textId="77777777" w:rsidR="002869DD" w:rsidRPr="00D73BE6" w:rsidRDefault="002869DD" w:rsidP="005F4DDD">
            <w:pPr>
              <w:pStyle w:val="BodyBullet"/>
              <w:spacing w:after="200" w:line="276" w:lineRule="auto"/>
              <w:rPr>
                <w:rFonts w:ascii="Arial" w:hAnsi="Arial" w:cs="Arial"/>
                <w:i/>
                <w:sz w:val="22"/>
                <w:szCs w:val="22"/>
                <w:lang w:val="en-NZ"/>
              </w:rPr>
            </w:pPr>
            <w:r>
              <w:rPr>
                <w:rFonts w:ascii="Arial" w:hAnsi="Arial" w:cs="Arial"/>
                <w:i/>
                <w:sz w:val="22"/>
                <w:szCs w:val="22"/>
              </w:rPr>
              <w:t xml:space="preserve">What </w:t>
            </w:r>
            <w:r w:rsidRPr="00ED107D">
              <w:rPr>
                <w:rFonts w:ascii="Arial" w:hAnsi="Arial" w:cs="Arial"/>
                <w:i/>
                <w:sz w:val="22"/>
                <w:szCs w:val="22"/>
              </w:rPr>
              <w:t xml:space="preserve">circumstances and/or reasons </w:t>
            </w:r>
            <w:r>
              <w:rPr>
                <w:rFonts w:ascii="Arial" w:hAnsi="Arial" w:cs="Arial"/>
                <w:i/>
                <w:sz w:val="22"/>
                <w:szCs w:val="22"/>
              </w:rPr>
              <w:t xml:space="preserve">do you think </w:t>
            </w:r>
            <w:r w:rsidRPr="00ED107D">
              <w:rPr>
                <w:rFonts w:ascii="Arial" w:hAnsi="Arial" w:cs="Arial"/>
                <w:i/>
                <w:sz w:val="22"/>
                <w:szCs w:val="22"/>
              </w:rPr>
              <w:t xml:space="preserve">would justify permitting the use of offshore mitigation for meeting each of the first three emissions budgets? </w:t>
            </w:r>
            <w:r>
              <w:rPr>
                <w:rFonts w:ascii="Arial" w:hAnsi="Arial" w:cs="Arial"/>
                <w:i/>
                <w:sz w:val="22"/>
                <w:szCs w:val="22"/>
              </w:rPr>
              <w:t xml:space="preserve">And if so, how could the proposed Commission determine an appropriate limit on their use? </w:t>
            </w:r>
          </w:p>
        </w:tc>
      </w:tr>
      <w:tr w:rsidR="002869DD" w14:paraId="6A5C6E59" w14:textId="77777777" w:rsidTr="002854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1C90258E" w14:textId="77777777" w:rsidR="002869DD" w:rsidRPr="00D17EB6" w:rsidRDefault="002869DD" w:rsidP="005F4DDD">
            <w:pPr>
              <w:pStyle w:val="BodyBullet"/>
              <w:spacing w:after="200" w:line="276" w:lineRule="auto"/>
              <w:rPr>
                <w:rFonts w:ascii="Arial" w:hAnsi="Arial" w:cs="Arial"/>
                <w:i/>
                <w:sz w:val="22"/>
                <w:szCs w:val="22"/>
              </w:rPr>
            </w:pPr>
            <w:r w:rsidRPr="00D17EB6">
              <w:rPr>
                <w:rFonts w:ascii="Arial" w:hAnsi="Arial" w:cs="Arial"/>
                <w:i/>
                <w:sz w:val="22"/>
                <w:szCs w:val="22"/>
              </w:rPr>
              <w:t xml:space="preserve">Answer: </w:t>
            </w:r>
          </w:p>
          <w:p w14:paraId="60FD701B" w14:textId="77777777" w:rsidR="002869DD" w:rsidRPr="00495C47" w:rsidRDefault="002869DD" w:rsidP="005F4DDD">
            <w:pPr>
              <w:pStyle w:val="BodyBullet"/>
              <w:spacing w:after="200" w:line="276" w:lineRule="auto"/>
              <w:rPr>
                <w:rFonts w:ascii="Arial" w:hAnsi="Arial" w:cs="Arial"/>
                <w:b w:val="0"/>
                <w:bCs w:val="0"/>
                <w:iCs/>
                <w:sz w:val="22"/>
                <w:szCs w:val="22"/>
              </w:rPr>
            </w:pPr>
            <w:r w:rsidRPr="00495C47">
              <w:rPr>
                <w:rFonts w:ascii="Arial" w:hAnsi="Arial" w:cs="Arial"/>
                <w:b w:val="0"/>
                <w:bCs w:val="0"/>
                <w:iCs/>
                <w:sz w:val="22"/>
                <w:szCs w:val="22"/>
              </w:rPr>
              <w:t xml:space="preserve">We provided a comment on this matter in our submission on the ‘Zero Carbon’ bill: </w:t>
            </w:r>
          </w:p>
          <w:p w14:paraId="75C2AC7F" w14:textId="77777777" w:rsidR="002869DD" w:rsidRPr="00495C47" w:rsidRDefault="002869DD" w:rsidP="00495C47">
            <w:pPr>
              <w:pStyle w:val="ListParagraph"/>
              <w:numPr>
                <w:ilvl w:val="0"/>
                <w:numId w:val="29"/>
              </w:numPr>
              <w:autoSpaceDE w:val="0"/>
              <w:autoSpaceDN w:val="0"/>
              <w:adjustRightInd w:val="0"/>
              <w:rPr>
                <w:rFonts w:ascii="Calibri" w:eastAsiaTheme="minorHAnsi" w:hAnsi="Calibri" w:cs="Calibri"/>
                <w:b w:val="0"/>
                <w:bCs w:val="0"/>
                <w:color w:val="000000"/>
                <w:lang w:val="en-NZ"/>
              </w:rPr>
            </w:pPr>
            <w:r>
              <w:rPr>
                <w:rFonts w:ascii="Calibri" w:eastAsiaTheme="minorHAnsi" w:hAnsi="Calibri" w:cs="Calibri"/>
                <w:b w:val="0"/>
                <w:bCs w:val="0"/>
                <w:color w:val="000000"/>
                <w:lang w:val="en-NZ"/>
              </w:rPr>
              <w:t>The</w:t>
            </w:r>
            <w:r w:rsidRPr="00495C47">
              <w:rPr>
                <w:rFonts w:ascii="Calibri" w:eastAsiaTheme="minorHAnsi" w:hAnsi="Calibri" w:cs="Calibri"/>
                <w:b w:val="0"/>
                <w:bCs w:val="0"/>
                <w:color w:val="000000"/>
                <w:lang w:val="en-NZ"/>
              </w:rPr>
              <w:t xml:space="preserve"> Bill proposes that ‘Emissions budgets must be met, as far as possible, from domestic emissions reductions and domestic removals.’ The explanatory note asserts that this ‘does not preclude New Zealand’s ability to count reductions sourced from overseas towards achievement of its nationally determined contributions, if required…’ </w:t>
            </w:r>
            <w:r w:rsidRPr="00495C47">
              <w:rPr>
                <w:rFonts w:ascii="Calibri" w:eastAsiaTheme="minorHAnsi" w:hAnsi="Calibri" w:cs="Calibri"/>
                <w:b w:val="0"/>
                <w:bCs w:val="0"/>
                <w:color w:val="000000"/>
                <w:lang w:val="en-NZ"/>
              </w:rPr>
              <w:br/>
            </w:r>
          </w:p>
          <w:p w14:paraId="48608B88" w14:textId="77777777" w:rsidR="002869DD" w:rsidRPr="00495C47" w:rsidRDefault="002869DD" w:rsidP="00495C47">
            <w:pPr>
              <w:pStyle w:val="ListParagraph"/>
              <w:numPr>
                <w:ilvl w:val="0"/>
                <w:numId w:val="29"/>
              </w:numPr>
              <w:autoSpaceDE w:val="0"/>
              <w:autoSpaceDN w:val="0"/>
              <w:adjustRightInd w:val="0"/>
              <w:rPr>
                <w:rFonts w:ascii="Calibri" w:eastAsiaTheme="minorHAnsi" w:hAnsi="Calibri" w:cs="Calibri"/>
                <w:b w:val="0"/>
                <w:bCs w:val="0"/>
                <w:color w:val="000000"/>
                <w:lang w:val="en-NZ"/>
              </w:rPr>
            </w:pPr>
            <w:r w:rsidRPr="00495C47">
              <w:rPr>
                <w:rFonts w:ascii="Calibri" w:eastAsiaTheme="minorHAnsi" w:hAnsi="Calibri" w:cs="Calibri"/>
                <w:b w:val="0"/>
                <w:bCs w:val="0"/>
                <w:color w:val="000000"/>
                <w:lang w:val="en-NZ"/>
              </w:rPr>
              <w:t xml:space="preserve">In our view this thinking </w:t>
            </w:r>
            <w:r>
              <w:rPr>
                <w:rFonts w:ascii="Calibri" w:eastAsiaTheme="minorHAnsi" w:hAnsi="Calibri" w:cs="Calibri"/>
                <w:b w:val="0"/>
                <w:bCs w:val="0"/>
                <w:color w:val="000000"/>
                <w:lang w:val="en-NZ"/>
              </w:rPr>
              <w:t>risks</w:t>
            </w:r>
            <w:r w:rsidRPr="00495C47">
              <w:rPr>
                <w:rFonts w:ascii="Calibri" w:eastAsiaTheme="minorHAnsi" w:hAnsi="Calibri" w:cs="Calibri"/>
                <w:b w:val="0"/>
                <w:bCs w:val="0"/>
                <w:color w:val="000000"/>
                <w:lang w:val="en-NZ"/>
              </w:rPr>
              <w:t xml:space="preserve"> emasculating domestic policy action. This approach is likely to lead to undue uncertainty, with the potential for the transition to a new economic and social pathway (including the domestic price of emissions reductions) to be undermined by the unpredictable acquisition of significant quantities of international units. It could create policy instability, undermining the intent of the Bill to create a clear downward trajectory of greenhouse gas emissions. In other words, it could undermine ‘strong, early mitigation action’ which, as the Regulatory Impact Statement for the Bill points out, ‘has the potential to place New Zealand at a comparative global advantage’, with ‘upsides or “</w:t>
            </w:r>
            <w:proofErr w:type="spellStart"/>
            <w:r w:rsidRPr="00495C47">
              <w:rPr>
                <w:rFonts w:ascii="Calibri" w:eastAsiaTheme="minorHAnsi" w:hAnsi="Calibri" w:cs="Calibri"/>
                <w:b w:val="0"/>
                <w:bCs w:val="0"/>
                <w:color w:val="000000"/>
                <w:lang w:val="en-NZ"/>
              </w:rPr>
              <w:t>cobenefits</w:t>
            </w:r>
            <w:proofErr w:type="spellEnd"/>
            <w:r w:rsidRPr="00495C47">
              <w:rPr>
                <w:rFonts w:ascii="Calibri" w:eastAsiaTheme="minorHAnsi" w:hAnsi="Calibri" w:cs="Calibri"/>
                <w:b w:val="0"/>
                <w:bCs w:val="0"/>
                <w:color w:val="000000"/>
                <w:lang w:val="en-NZ"/>
              </w:rPr>
              <w:t>” to be expected, including improved environmental, health and social outcomes.’</w:t>
            </w:r>
            <w:r w:rsidRPr="00495C47">
              <w:rPr>
                <w:rFonts w:ascii="Calibri" w:eastAsiaTheme="minorHAnsi" w:hAnsi="Calibri" w:cs="Calibri"/>
                <w:b w:val="0"/>
                <w:bCs w:val="0"/>
                <w:color w:val="000000"/>
                <w:sz w:val="16"/>
                <w:szCs w:val="16"/>
                <w:lang w:val="en-NZ"/>
              </w:rPr>
              <w:t xml:space="preserve"> </w:t>
            </w:r>
            <w:r w:rsidRPr="00495C47">
              <w:rPr>
                <w:rFonts w:ascii="Calibri" w:eastAsiaTheme="minorHAnsi" w:hAnsi="Calibri" w:cs="Calibri"/>
                <w:b w:val="0"/>
                <w:bCs w:val="0"/>
                <w:color w:val="000000"/>
                <w:sz w:val="16"/>
                <w:szCs w:val="16"/>
                <w:lang w:val="en-NZ"/>
              </w:rPr>
              <w:br/>
            </w:r>
          </w:p>
          <w:p w14:paraId="3AD5C2F0" w14:textId="77777777" w:rsidR="002869DD" w:rsidRPr="00495C47" w:rsidRDefault="002869DD" w:rsidP="00495C47">
            <w:pPr>
              <w:pStyle w:val="ListParagraph"/>
              <w:numPr>
                <w:ilvl w:val="0"/>
                <w:numId w:val="29"/>
              </w:numPr>
              <w:autoSpaceDE w:val="0"/>
              <w:autoSpaceDN w:val="0"/>
              <w:adjustRightInd w:val="0"/>
              <w:rPr>
                <w:rFonts w:ascii="Calibri" w:eastAsiaTheme="minorHAnsi" w:hAnsi="Calibri" w:cs="Calibri"/>
                <w:b w:val="0"/>
                <w:bCs w:val="0"/>
                <w:color w:val="000000"/>
                <w:lang w:val="en-NZ"/>
              </w:rPr>
            </w:pPr>
            <w:r w:rsidRPr="00495C47">
              <w:rPr>
                <w:rFonts w:ascii="Calibri" w:eastAsiaTheme="minorHAnsi" w:hAnsi="Calibri" w:cs="Calibri"/>
                <w:b w:val="0"/>
                <w:bCs w:val="0"/>
                <w:color w:val="000000"/>
                <w:lang w:val="en-NZ"/>
              </w:rPr>
              <w:t xml:space="preserve">Our reasoning is based not only on domestic considerations – uncertainty created for the domestic market – but also based on the importance of what New Zealand is </w:t>
            </w:r>
            <w:r w:rsidRPr="00495C47">
              <w:rPr>
                <w:rFonts w:ascii="Calibri" w:eastAsiaTheme="minorHAnsi" w:hAnsi="Calibri" w:cs="Calibri"/>
                <w:b w:val="0"/>
                <w:bCs w:val="0"/>
                <w:i/>
                <w:iCs/>
                <w:color w:val="000000"/>
                <w:lang w:val="en-NZ"/>
              </w:rPr>
              <w:t xml:space="preserve">seen </w:t>
            </w:r>
            <w:r w:rsidRPr="00495C47">
              <w:rPr>
                <w:rFonts w:ascii="Calibri" w:eastAsiaTheme="minorHAnsi" w:hAnsi="Calibri" w:cs="Calibri"/>
                <w:b w:val="0"/>
                <w:bCs w:val="0"/>
                <w:color w:val="000000"/>
                <w:lang w:val="en-NZ"/>
              </w:rPr>
              <w:t xml:space="preserve">internationally to be doing (the ‘optics’). The optics are effectively as important as what New Zealand actually does, given that the logic of New Zealand’s position is fundamentally one of demonstrating good global citizenship and influencing the international community through our actions and a credible and predictable plan of action. </w:t>
            </w:r>
            <w:r w:rsidRPr="00495C47">
              <w:rPr>
                <w:rFonts w:ascii="Calibri" w:eastAsiaTheme="minorHAnsi" w:hAnsi="Calibri" w:cs="Calibri"/>
                <w:b w:val="0"/>
                <w:bCs w:val="0"/>
                <w:color w:val="000000"/>
                <w:lang w:val="en-NZ"/>
              </w:rPr>
              <w:br/>
            </w:r>
          </w:p>
          <w:p w14:paraId="35A4458F" w14:textId="77777777" w:rsidR="002869DD" w:rsidRPr="00495C47" w:rsidRDefault="002869DD" w:rsidP="00495C47">
            <w:pPr>
              <w:pStyle w:val="ListParagraph"/>
              <w:numPr>
                <w:ilvl w:val="0"/>
                <w:numId w:val="29"/>
              </w:numPr>
              <w:autoSpaceDE w:val="0"/>
              <w:autoSpaceDN w:val="0"/>
              <w:adjustRightInd w:val="0"/>
              <w:rPr>
                <w:rFonts w:ascii="Calibri" w:eastAsiaTheme="minorHAnsi" w:hAnsi="Calibri" w:cs="Calibri"/>
                <w:b w:val="0"/>
                <w:bCs w:val="0"/>
                <w:color w:val="000000"/>
                <w:lang w:val="en-NZ"/>
              </w:rPr>
            </w:pPr>
            <w:r w:rsidRPr="00495C47">
              <w:rPr>
                <w:rFonts w:ascii="Calibri" w:eastAsiaTheme="minorHAnsi" w:hAnsi="Calibri" w:cs="Calibri"/>
                <w:b w:val="0"/>
                <w:bCs w:val="0"/>
                <w:color w:val="000000"/>
                <w:lang w:val="en-NZ"/>
              </w:rPr>
              <w:t xml:space="preserve">It is notable that in the UK, the CCC has recommended that the limit on international units should be 0%, but that the UK may purchase international credits to contribute to global mitigation efforts, as long as this is additional to domestic progress. We understand the UK government has opted for a limit for the 2013-17 and 2018-22 budgets which equates to 1.9% and 2.2% margins. We believe a similar logic applies to the New Zealand situation. </w:t>
            </w:r>
            <w:r w:rsidRPr="00495C47">
              <w:rPr>
                <w:rFonts w:ascii="Calibri" w:eastAsiaTheme="minorHAnsi" w:hAnsi="Calibri" w:cs="Calibri"/>
                <w:b w:val="0"/>
                <w:bCs w:val="0"/>
                <w:color w:val="000000"/>
                <w:lang w:val="en-NZ"/>
              </w:rPr>
              <w:br/>
            </w:r>
          </w:p>
          <w:p w14:paraId="7A0D46A7" w14:textId="77777777" w:rsidR="002869DD" w:rsidRPr="00495C47" w:rsidRDefault="002869DD" w:rsidP="00495C47">
            <w:pPr>
              <w:pStyle w:val="ListParagraph"/>
              <w:numPr>
                <w:ilvl w:val="0"/>
                <w:numId w:val="29"/>
              </w:numPr>
              <w:autoSpaceDE w:val="0"/>
              <w:autoSpaceDN w:val="0"/>
              <w:adjustRightInd w:val="0"/>
              <w:rPr>
                <w:rFonts w:ascii="Calibri" w:eastAsiaTheme="minorHAnsi" w:hAnsi="Calibri" w:cs="Calibri"/>
                <w:b w:val="0"/>
                <w:bCs w:val="0"/>
                <w:color w:val="000000"/>
                <w:sz w:val="22"/>
                <w:szCs w:val="22"/>
                <w:lang w:val="en-NZ"/>
              </w:rPr>
            </w:pPr>
            <w:r w:rsidRPr="00495C47">
              <w:rPr>
                <w:rFonts w:ascii="Calibri" w:eastAsiaTheme="minorHAnsi" w:hAnsi="Calibri" w:cs="Calibri"/>
                <w:b w:val="0"/>
                <w:bCs w:val="0"/>
                <w:lang w:val="en-NZ"/>
              </w:rPr>
              <w:t>In our view the target should not allow for more than a small buffering contribution from international units, say 1% of the target emissions reduction quantity. This very limited amount would be mandated by the Commission.</w:t>
            </w:r>
          </w:p>
        </w:tc>
      </w:tr>
    </w:tbl>
    <w:p w14:paraId="77024BEF" w14:textId="77777777" w:rsidR="002869DD" w:rsidRDefault="002869DD" w:rsidP="005F4DDD">
      <w:pPr>
        <w:pStyle w:val="BodyBullet"/>
        <w:spacing w:after="200" w:line="276" w:lineRule="auto"/>
        <w:rPr>
          <w:rFonts w:ascii="Arial" w:hAnsi="Arial" w:cs="Arial"/>
          <w:i/>
          <w:sz w:val="22"/>
          <w:szCs w:val="22"/>
        </w:rPr>
      </w:pPr>
    </w:p>
    <w:p w14:paraId="2E27F67A" w14:textId="77777777" w:rsidR="002869DD" w:rsidRDefault="002869DD" w:rsidP="005F4DDD">
      <w:pPr>
        <w:pStyle w:val="BodyBullet"/>
        <w:spacing w:after="200" w:line="276" w:lineRule="auto"/>
        <w:rPr>
          <w:rFonts w:ascii="Arial" w:hAnsi="Arial" w:cs="Arial"/>
          <w:b/>
          <w:sz w:val="22"/>
          <w:szCs w:val="22"/>
        </w:rPr>
      </w:pPr>
      <w:r>
        <w:rPr>
          <w:rFonts w:ascii="Arial" w:hAnsi="Arial" w:cs="Arial"/>
          <w:b/>
          <w:sz w:val="22"/>
          <w:szCs w:val="22"/>
        </w:rPr>
        <w:lastRenderedPageBreak/>
        <w:t>Section B</w:t>
      </w:r>
      <w:r>
        <w:rPr>
          <w:rFonts w:ascii="Arial" w:hAnsi="Arial" w:cs="Arial"/>
          <w:b/>
          <w:sz w:val="22"/>
          <w:szCs w:val="22"/>
        </w:rPr>
        <w:tab/>
        <w:t xml:space="preserve">Emissions reduction policies and interventions </w:t>
      </w:r>
    </w:p>
    <w:p w14:paraId="4E277A77" w14:textId="77777777" w:rsidR="002869DD" w:rsidRDefault="002869DD" w:rsidP="005F4DDD">
      <w:pPr>
        <w:pStyle w:val="BodyBullet"/>
        <w:spacing w:after="200" w:line="276" w:lineRule="auto"/>
        <w:rPr>
          <w:rFonts w:ascii="Arial" w:hAnsi="Arial" w:cs="Arial"/>
          <w:sz w:val="22"/>
          <w:szCs w:val="22"/>
        </w:rPr>
      </w:pPr>
      <w:r>
        <w:rPr>
          <w:rFonts w:ascii="Arial" w:hAnsi="Arial" w:cs="Arial"/>
          <w:sz w:val="22"/>
          <w:szCs w:val="22"/>
        </w:rPr>
        <w:t>The proposed Commission will</w:t>
      </w:r>
      <w:r w:rsidRPr="00ED107D">
        <w:rPr>
          <w:rFonts w:ascii="Arial" w:hAnsi="Arial" w:cs="Arial"/>
          <w:sz w:val="22"/>
          <w:szCs w:val="22"/>
        </w:rPr>
        <w:t xml:space="preserve"> also </w:t>
      </w:r>
      <w:r>
        <w:rPr>
          <w:rFonts w:ascii="Arial" w:hAnsi="Arial" w:cs="Arial"/>
          <w:sz w:val="22"/>
          <w:szCs w:val="22"/>
        </w:rPr>
        <w:t>need to consider the types of policies required to achieve the budgets it proposes. This consideration should include:</w:t>
      </w:r>
    </w:p>
    <w:p w14:paraId="5B920065" w14:textId="77777777" w:rsidR="002869DD" w:rsidRDefault="002869DD" w:rsidP="005F4DDD">
      <w:pPr>
        <w:pStyle w:val="Body1"/>
        <w:numPr>
          <w:ilvl w:val="0"/>
          <w:numId w:val="6"/>
        </w:numPr>
        <w:spacing w:before="300" w:after="200" w:line="276" w:lineRule="auto"/>
        <w:ind w:left="714" w:hanging="357"/>
        <w:contextualSpacing/>
        <w:rPr>
          <w:rFonts w:ascii="Arial" w:hAnsi="Arial" w:cs="Arial"/>
          <w:sz w:val="22"/>
          <w:szCs w:val="22"/>
          <w:lang w:val="en-NZ"/>
        </w:rPr>
      </w:pPr>
      <w:r w:rsidRPr="0023006B">
        <w:rPr>
          <w:rFonts w:ascii="Arial" w:hAnsi="Arial" w:cs="Arial"/>
          <w:sz w:val="22"/>
          <w:szCs w:val="22"/>
          <w:lang w:val="en-NZ"/>
        </w:rPr>
        <w:t xml:space="preserve">sector-specific policies </w:t>
      </w:r>
      <w:r>
        <w:rPr>
          <w:rFonts w:ascii="Arial" w:hAnsi="Arial" w:cs="Arial"/>
          <w:sz w:val="22"/>
          <w:szCs w:val="22"/>
          <w:lang w:val="en-NZ"/>
        </w:rPr>
        <w:t xml:space="preserve">(for example in transport or industrial heat) </w:t>
      </w:r>
      <w:r w:rsidRPr="0023006B">
        <w:rPr>
          <w:rFonts w:ascii="Arial" w:hAnsi="Arial" w:cs="Arial"/>
          <w:sz w:val="22"/>
          <w:szCs w:val="22"/>
          <w:lang w:val="en-NZ"/>
        </w:rPr>
        <w:t>to reduce emissions</w:t>
      </w:r>
      <w:r>
        <w:rPr>
          <w:rFonts w:ascii="Arial" w:hAnsi="Arial" w:cs="Arial"/>
          <w:sz w:val="22"/>
          <w:szCs w:val="22"/>
          <w:lang w:val="en-NZ"/>
        </w:rPr>
        <w:t xml:space="preserve"> and increase removals</w:t>
      </w:r>
      <w:r w:rsidRPr="0023006B">
        <w:rPr>
          <w:rFonts w:ascii="Arial" w:hAnsi="Arial" w:cs="Arial"/>
          <w:sz w:val="22"/>
          <w:szCs w:val="22"/>
          <w:lang w:val="en-NZ"/>
        </w:rPr>
        <w:t>,</w:t>
      </w:r>
      <w:r>
        <w:rPr>
          <w:rFonts w:ascii="Arial" w:hAnsi="Arial" w:cs="Arial"/>
          <w:sz w:val="22"/>
          <w:szCs w:val="22"/>
          <w:lang w:val="en-NZ"/>
        </w:rPr>
        <w:t xml:space="preserve"> and </w:t>
      </w:r>
    </w:p>
    <w:p w14:paraId="0B260261" w14:textId="77777777" w:rsidR="002869DD" w:rsidRDefault="002869DD" w:rsidP="005F4DDD">
      <w:pPr>
        <w:pStyle w:val="Body1"/>
        <w:numPr>
          <w:ilvl w:val="0"/>
          <w:numId w:val="6"/>
        </w:numPr>
        <w:spacing w:before="300" w:after="200" w:line="276" w:lineRule="auto"/>
        <w:ind w:left="714" w:hanging="357"/>
        <w:contextualSpacing/>
        <w:rPr>
          <w:rFonts w:ascii="Arial" w:hAnsi="Arial" w:cs="Arial"/>
          <w:sz w:val="22"/>
          <w:szCs w:val="22"/>
          <w:lang w:val="en-NZ"/>
        </w:rPr>
      </w:pPr>
      <w:r>
        <w:rPr>
          <w:rFonts w:ascii="Arial" w:hAnsi="Arial" w:cs="Arial"/>
          <w:sz w:val="22"/>
          <w:szCs w:val="22"/>
          <w:lang w:val="en-NZ"/>
        </w:rPr>
        <w:t>the interactions between sectors and the cap</w:t>
      </w:r>
      <w:r w:rsidRPr="0023006B">
        <w:rPr>
          <w:rFonts w:ascii="Arial" w:hAnsi="Arial" w:cs="Arial"/>
          <w:sz w:val="22"/>
          <w:szCs w:val="22"/>
          <w:lang w:val="en-NZ"/>
        </w:rPr>
        <w:t>ability of those sectors to adapt to the</w:t>
      </w:r>
      <w:r>
        <w:rPr>
          <w:rFonts w:ascii="Arial" w:hAnsi="Arial" w:cs="Arial"/>
          <w:sz w:val="22"/>
          <w:szCs w:val="22"/>
          <w:lang w:val="en-NZ"/>
        </w:rPr>
        <w:t xml:space="preserve"> effects of climate change.</w:t>
      </w:r>
    </w:p>
    <w:p w14:paraId="4C35F4FE" w14:textId="77777777" w:rsidR="002869DD" w:rsidRDefault="002869DD" w:rsidP="005F4DDD">
      <w:pPr>
        <w:pStyle w:val="Body1"/>
        <w:spacing w:before="300" w:after="200" w:line="276" w:lineRule="auto"/>
        <w:ind w:left="714"/>
        <w:contextualSpacing/>
        <w:rPr>
          <w:rFonts w:ascii="Arial" w:hAnsi="Arial" w:cs="Arial"/>
          <w:sz w:val="22"/>
          <w:szCs w:val="22"/>
          <w:lang w:val="en-NZ"/>
        </w:rPr>
      </w:pPr>
    </w:p>
    <w:p w14:paraId="4D047F20" w14:textId="77777777" w:rsidR="002869DD" w:rsidRDefault="002869DD" w:rsidP="005F4DDD">
      <w:pPr>
        <w:pStyle w:val="Body1"/>
        <w:spacing w:before="300" w:after="200" w:line="276" w:lineRule="auto"/>
        <w:ind w:left="714"/>
        <w:contextualSpacing/>
        <w:rPr>
          <w:rFonts w:ascii="Arial" w:hAnsi="Arial" w:cs="Arial"/>
          <w:sz w:val="22"/>
          <w:szCs w:val="22"/>
          <w:lang w:val="en-NZ"/>
        </w:rPr>
      </w:pPr>
    </w:p>
    <w:tbl>
      <w:tblPr>
        <w:tblStyle w:val="GridTable4-Accent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869DD" w14:paraId="5093019D" w14:textId="77777777" w:rsidTr="002854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408DDA13" w14:textId="77777777" w:rsidR="002869DD" w:rsidRDefault="002869DD" w:rsidP="005F4DDD">
            <w:pPr>
              <w:pStyle w:val="BodyBullet"/>
              <w:spacing w:after="200" w:line="276" w:lineRule="auto"/>
              <w:rPr>
                <w:rFonts w:ascii="Arial" w:hAnsi="Arial" w:cs="Arial"/>
                <w:i/>
                <w:sz w:val="22"/>
                <w:szCs w:val="22"/>
              </w:rPr>
            </w:pPr>
            <w:r>
              <w:rPr>
                <w:rFonts w:ascii="Arial" w:hAnsi="Arial" w:cs="Arial"/>
                <w:i/>
                <w:sz w:val="22"/>
                <w:szCs w:val="22"/>
              </w:rPr>
              <w:t xml:space="preserve">Question 6: </w:t>
            </w:r>
          </w:p>
          <w:p w14:paraId="1CF3D083" w14:textId="77777777" w:rsidR="002869DD" w:rsidRDefault="002869DD" w:rsidP="005F4DDD">
            <w:pPr>
              <w:pStyle w:val="BodyBullet"/>
              <w:spacing w:after="200" w:line="276" w:lineRule="auto"/>
              <w:rPr>
                <w:rFonts w:ascii="Arial" w:hAnsi="Arial" w:cs="Arial"/>
                <w:i/>
                <w:sz w:val="22"/>
                <w:szCs w:val="22"/>
              </w:rPr>
            </w:pPr>
            <w:r>
              <w:rPr>
                <w:rFonts w:ascii="Arial" w:hAnsi="Arial" w:cs="Arial"/>
                <w:i/>
                <w:sz w:val="22"/>
                <w:szCs w:val="22"/>
              </w:rPr>
              <w:t xml:space="preserve">What sector-specific policies do you think the proposed Commission should consider </w:t>
            </w:r>
            <w:proofErr w:type="gramStart"/>
            <w:r>
              <w:rPr>
                <w:rFonts w:ascii="Arial" w:hAnsi="Arial" w:cs="Arial"/>
                <w:i/>
                <w:sz w:val="22"/>
                <w:szCs w:val="22"/>
              </w:rPr>
              <w:t>to help</w:t>
            </w:r>
            <w:proofErr w:type="gramEnd"/>
            <w:r>
              <w:rPr>
                <w:rFonts w:ascii="Arial" w:hAnsi="Arial" w:cs="Arial"/>
                <w:i/>
                <w:sz w:val="22"/>
                <w:szCs w:val="22"/>
              </w:rPr>
              <w:t xml:space="preserve"> meet the first emissions budgets from 2022-35? What evidence is there to </w:t>
            </w:r>
            <w:r>
              <w:rPr>
                <w:rFonts w:ascii="Arial" w:hAnsi="Arial" w:cs="Arial"/>
                <w:i/>
                <w:sz w:val="22"/>
                <w:szCs w:val="22"/>
                <w:lang w:val="en-NZ"/>
              </w:rPr>
              <w:t>suggest they would be effective?</w:t>
            </w:r>
          </w:p>
        </w:tc>
      </w:tr>
      <w:tr w:rsidR="002869DD" w14:paraId="42819281" w14:textId="77777777" w:rsidTr="002854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32B1BD93" w14:textId="77777777" w:rsidR="002869DD" w:rsidRDefault="002869DD" w:rsidP="005F4DDD">
            <w:pPr>
              <w:pStyle w:val="BodyBullet"/>
              <w:spacing w:after="200" w:line="276" w:lineRule="auto"/>
              <w:rPr>
                <w:rFonts w:ascii="Arial" w:hAnsi="Arial" w:cs="Arial"/>
                <w:i/>
                <w:sz w:val="22"/>
                <w:szCs w:val="22"/>
              </w:rPr>
            </w:pPr>
            <w:r>
              <w:rPr>
                <w:rFonts w:ascii="Arial" w:hAnsi="Arial" w:cs="Arial"/>
                <w:i/>
                <w:sz w:val="22"/>
                <w:szCs w:val="22"/>
              </w:rPr>
              <w:t xml:space="preserve">Answer: </w:t>
            </w:r>
          </w:p>
          <w:p w14:paraId="67C28C90" w14:textId="77777777" w:rsidR="002869DD" w:rsidRDefault="002869DD" w:rsidP="005F4DDD">
            <w:pPr>
              <w:pStyle w:val="BodyBullet"/>
              <w:spacing w:after="200" w:line="276" w:lineRule="auto"/>
              <w:rPr>
                <w:rFonts w:ascii="Arial" w:hAnsi="Arial" w:cs="Arial"/>
                <w:bCs w:val="0"/>
                <w:sz w:val="22"/>
                <w:szCs w:val="22"/>
                <w:lang w:val="en-NZ"/>
              </w:rPr>
            </w:pPr>
            <w:r>
              <w:rPr>
                <w:rFonts w:ascii="Arial" w:hAnsi="Arial" w:cs="Arial"/>
                <w:b w:val="0"/>
                <w:sz w:val="22"/>
                <w:szCs w:val="22"/>
                <w:lang w:val="en-NZ"/>
              </w:rPr>
              <w:t xml:space="preserve">In regard to the transport and urban form domain, please refer to our answer above. </w:t>
            </w:r>
          </w:p>
          <w:p w14:paraId="2D975A30" w14:textId="77777777" w:rsidR="002869DD" w:rsidRDefault="002869DD" w:rsidP="005F4DDD">
            <w:pPr>
              <w:pStyle w:val="BodyBullet"/>
              <w:spacing w:after="200" w:line="276" w:lineRule="auto"/>
              <w:rPr>
                <w:rFonts w:ascii="Arial" w:hAnsi="Arial" w:cs="Arial"/>
                <w:b w:val="0"/>
                <w:sz w:val="22"/>
                <w:szCs w:val="22"/>
                <w:lang w:val="en-NZ"/>
              </w:rPr>
            </w:pPr>
            <w:r>
              <w:rPr>
                <w:rFonts w:ascii="Arial" w:hAnsi="Arial" w:cs="Arial"/>
                <w:b w:val="0"/>
                <w:sz w:val="22"/>
                <w:szCs w:val="22"/>
                <w:lang w:val="en-NZ"/>
              </w:rPr>
              <w:t>Residential sector emissions should be targeted through two main avenues:</w:t>
            </w:r>
          </w:p>
          <w:p w14:paraId="226BB02B" w14:textId="77777777" w:rsidR="002869DD" w:rsidRDefault="002869DD" w:rsidP="00295C09">
            <w:pPr>
              <w:pStyle w:val="BodyBullet"/>
              <w:numPr>
                <w:ilvl w:val="0"/>
                <w:numId w:val="6"/>
              </w:numPr>
              <w:spacing w:after="200" w:line="276" w:lineRule="auto"/>
              <w:rPr>
                <w:rFonts w:ascii="Arial" w:hAnsi="Arial" w:cs="Arial"/>
                <w:b w:val="0"/>
                <w:sz w:val="22"/>
                <w:szCs w:val="22"/>
                <w:lang w:val="en-NZ"/>
              </w:rPr>
            </w:pPr>
            <w:r>
              <w:rPr>
                <w:rFonts w:ascii="Arial" w:hAnsi="Arial" w:cs="Arial"/>
                <w:b w:val="0"/>
                <w:sz w:val="22"/>
                <w:szCs w:val="22"/>
                <w:lang w:val="en-NZ"/>
              </w:rPr>
              <w:t xml:space="preserve">Retrofitting energy efficiency measures into existing dwellings </w:t>
            </w:r>
            <w:r>
              <w:rPr>
                <w:rFonts w:ascii="Arial" w:hAnsi="Arial" w:cs="Arial"/>
                <w:noProof/>
                <w:sz w:val="22"/>
                <w:szCs w:val="22"/>
                <w:lang w:val="en-NZ"/>
              </w:rPr>
              <w:t>(P. Howden-Chapman et al., 2007; Lloyd et al., 2008)</w:t>
            </w:r>
            <w:r>
              <w:rPr>
                <w:rFonts w:ascii="Arial" w:hAnsi="Arial" w:cs="Arial"/>
                <w:b w:val="0"/>
                <w:sz w:val="22"/>
                <w:szCs w:val="22"/>
                <w:lang w:val="en-NZ"/>
              </w:rPr>
              <w:t xml:space="preserve">. As much of the New Zealand housing stock is cold, this may help reduce emissions either through a reduction in heating energy required, or through a reduction in the emissions from the health system treating cold housing related illnesses </w:t>
            </w:r>
            <w:r>
              <w:rPr>
                <w:rFonts w:ascii="Arial" w:hAnsi="Arial" w:cs="Arial"/>
                <w:noProof/>
                <w:sz w:val="22"/>
                <w:szCs w:val="22"/>
                <w:lang w:val="en-NZ"/>
              </w:rPr>
              <w:t>(Ralph Chapman et al., 2009; P. Howden-Chapman et al., 2008)</w:t>
            </w:r>
            <w:r>
              <w:rPr>
                <w:rFonts w:ascii="Arial" w:hAnsi="Arial" w:cs="Arial"/>
                <w:b w:val="0"/>
                <w:sz w:val="22"/>
                <w:szCs w:val="22"/>
                <w:lang w:val="en-NZ"/>
              </w:rPr>
              <w:t>.</w:t>
            </w:r>
          </w:p>
          <w:p w14:paraId="18521519" w14:textId="77777777" w:rsidR="002869DD" w:rsidRPr="0027190E" w:rsidRDefault="002869DD" w:rsidP="00AD52EE">
            <w:pPr>
              <w:pStyle w:val="BodyBullet"/>
              <w:numPr>
                <w:ilvl w:val="0"/>
                <w:numId w:val="6"/>
              </w:numPr>
              <w:spacing w:after="200" w:line="276" w:lineRule="auto"/>
              <w:rPr>
                <w:rFonts w:ascii="Arial" w:hAnsi="Arial" w:cs="Arial"/>
                <w:b w:val="0"/>
                <w:sz w:val="22"/>
                <w:szCs w:val="22"/>
                <w:lang w:val="en-NZ"/>
              </w:rPr>
            </w:pPr>
            <w:r>
              <w:rPr>
                <w:rFonts w:ascii="Arial" w:hAnsi="Arial" w:cs="Arial"/>
                <w:b w:val="0"/>
                <w:sz w:val="22"/>
                <w:szCs w:val="22"/>
                <w:lang w:val="en-NZ"/>
              </w:rPr>
              <w:t xml:space="preserve">Upgrading the building code to require new dwellings to be low carbon and zero, or near-zero, energy by 2030. This should include both low carbon building techniques and materials, and the longer term running costs and maintenance estimates. The insulation standard in the current building code was designed considering energy prices from a decade ago, and without focussing on mitigation of carbon emissions </w:t>
            </w:r>
            <w:r>
              <w:rPr>
                <w:rFonts w:ascii="Arial" w:hAnsi="Arial" w:cs="Arial"/>
                <w:noProof/>
                <w:sz w:val="22"/>
                <w:szCs w:val="22"/>
                <w:lang w:val="en-NZ"/>
              </w:rPr>
              <w:t>(Standards New Zealand, 2009)</w:t>
            </w:r>
            <w:r>
              <w:rPr>
                <w:rFonts w:ascii="Arial" w:hAnsi="Arial" w:cs="Arial"/>
                <w:b w:val="0"/>
                <w:sz w:val="22"/>
                <w:szCs w:val="22"/>
                <w:lang w:val="en-NZ"/>
              </w:rPr>
              <w:t>.</w:t>
            </w:r>
          </w:p>
          <w:p w14:paraId="200031C2" w14:textId="77777777" w:rsidR="002869DD" w:rsidRPr="00295C09" w:rsidRDefault="002869DD" w:rsidP="00AD52EE">
            <w:pPr>
              <w:pStyle w:val="BodyBullet"/>
              <w:numPr>
                <w:ilvl w:val="0"/>
                <w:numId w:val="6"/>
              </w:numPr>
              <w:spacing w:after="200" w:line="276" w:lineRule="auto"/>
              <w:rPr>
                <w:rFonts w:ascii="Arial" w:hAnsi="Arial" w:cs="Arial"/>
                <w:b w:val="0"/>
                <w:sz w:val="22"/>
                <w:szCs w:val="22"/>
                <w:lang w:val="en-NZ"/>
              </w:rPr>
            </w:pPr>
            <w:r>
              <w:rPr>
                <w:rFonts w:ascii="Arial" w:hAnsi="Arial" w:cs="Arial"/>
                <w:b w:val="0"/>
                <w:sz w:val="22"/>
                <w:szCs w:val="22"/>
              </w:rPr>
              <w:t xml:space="preserve">We also recommend that the Commission carefully evaluate the effect on investment in small scale residential renewable electricity generation of the removal of the low-fixed charge electricity tariff regulations </w:t>
            </w:r>
            <w:r>
              <w:rPr>
                <w:rFonts w:ascii="Arial" w:hAnsi="Arial" w:cs="Arial"/>
                <w:noProof/>
                <w:sz w:val="22"/>
                <w:szCs w:val="22"/>
              </w:rPr>
              <w:t>("Electricity Low Fixed Charge Tariff Option for Domestic Consumers Regulations," 2004)</w:t>
            </w:r>
            <w:r>
              <w:rPr>
                <w:rFonts w:ascii="Arial" w:hAnsi="Arial" w:cs="Arial"/>
                <w:b w:val="0"/>
                <w:sz w:val="22"/>
                <w:szCs w:val="22"/>
              </w:rPr>
              <w:t xml:space="preserve"> recommended by the recent electricity price review </w:t>
            </w:r>
            <w:r>
              <w:rPr>
                <w:rFonts w:ascii="Arial" w:hAnsi="Arial" w:cs="Arial"/>
                <w:noProof/>
                <w:sz w:val="22"/>
                <w:szCs w:val="22"/>
              </w:rPr>
              <w:t>(New Zealand Government, 2019)</w:t>
            </w:r>
            <w:r>
              <w:rPr>
                <w:rFonts w:ascii="Arial" w:hAnsi="Arial" w:cs="Arial"/>
                <w:b w:val="0"/>
                <w:sz w:val="22"/>
                <w:szCs w:val="22"/>
              </w:rPr>
              <w:t>. The removal of this incentive to invest in energy efficient appliances, retrofitted insulation, or the upgrading of new buildings to better-than-code may have flow-on effects involving greater energy use – including at peak times – and in turn may cause the generation of more emissions either through the use of additional thermal generation and/or the building of new electricity plants before they would otherwise be necessary.</w:t>
            </w:r>
          </w:p>
        </w:tc>
      </w:tr>
    </w:tbl>
    <w:p w14:paraId="7FDE2D16" w14:textId="77777777" w:rsidR="002869DD" w:rsidRDefault="002869DD" w:rsidP="00BA336C">
      <w:pPr>
        <w:pStyle w:val="Body1"/>
        <w:spacing w:before="300" w:after="200" w:line="276" w:lineRule="auto"/>
        <w:contextualSpacing/>
        <w:rPr>
          <w:rFonts w:ascii="Arial" w:hAnsi="Arial" w:cs="Arial"/>
          <w:sz w:val="22"/>
          <w:szCs w:val="22"/>
          <w:lang w:val="en-NZ"/>
        </w:rPr>
      </w:pPr>
    </w:p>
    <w:tbl>
      <w:tblPr>
        <w:tblStyle w:val="GridTable4-Accent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4A0" w:firstRow="1" w:lastRow="0" w:firstColumn="1" w:lastColumn="0" w:noHBand="0" w:noVBand="1"/>
      </w:tblPr>
      <w:tblGrid>
        <w:gridCol w:w="9016"/>
      </w:tblGrid>
      <w:tr w:rsidR="002869DD" w14:paraId="1EFB478F" w14:textId="77777777" w:rsidTr="005F4D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0974971D" w14:textId="77777777" w:rsidR="002869DD" w:rsidRDefault="002869DD" w:rsidP="005F4DDD">
            <w:pPr>
              <w:pStyle w:val="BodyBullet"/>
              <w:spacing w:after="200" w:line="276" w:lineRule="auto"/>
              <w:rPr>
                <w:rFonts w:ascii="Arial" w:hAnsi="Arial" w:cs="Arial"/>
                <w:i/>
                <w:sz w:val="22"/>
                <w:szCs w:val="22"/>
              </w:rPr>
            </w:pPr>
            <w:r>
              <w:rPr>
                <w:rFonts w:ascii="Arial" w:hAnsi="Arial" w:cs="Arial"/>
                <w:i/>
                <w:sz w:val="22"/>
                <w:szCs w:val="22"/>
              </w:rPr>
              <w:t xml:space="preserve">Question 7: </w:t>
            </w:r>
          </w:p>
          <w:p w14:paraId="58D5D939" w14:textId="77777777" w:rsidR="002869DD" w:rsidRDefault="002869DD" w:rsidP="00A75CE0">
            <w:pPr>
              <w:pStyle w:val="BodyBullet"/>
              <w:spacing w:after="200" w:line="276" w:lineRule="auto"/>
              <w:rPr>
                <w:rFonts w:ascii="Arial" w:hAnsi="Arial" w:cs="Arial"/>
                <w:i/>
                <w:sz w:val="22"/>
                <w:szCs w:val="22"/>
              </w:rPr>
            </w:pPr>
            <w:r>
              <w:rPr>
                <w:rFonts w:ascii="Arial" w:hAnsi="Arial" w:cs="Arial"/>
                <w:i/>
                <w:sz w:val="22"/>
                <w:szCs w:val="22"/>
              </w:rPr>
              <w:t xml:space="preserve">What cross-sector </w:t>
            </w:r>
            <w:r>
              <w:rPr>
                <w:rFonts w:ascii="Arial" w:hAnsi="Arial" w:cs="Arial"/>
                <w:i/>
                <w:sz w:val="22"/>
                <w:szCs w:val="22"/>
                <w:lang w:val="en-NZ"/>
              </w:rPr>
              <w:t xml:space="preserve">policies do you think the proposed Commission should consider </w:t>
            </w:r>
            <w:proofErr w:type="gramStart"/>
            <w:r>
              <w:rPr>
                <w:rFonts w:ascii="Arial" w:hAnsi="Arial" w:cs="Arial"/>
                <w:i/>
                <w:sz w:val="22"/>
                <w:szCs w:val="22"/>
              </w:rPr>
              <w:t>to help</w:t>
            </w:r>
            <w:proofErr w:type="gramEnd"/>
            <w:r>
              <w:rPr>
                <w:rFonts w:ascii="Arial" w:hAnsi="Arial" w:cs="Arial"/>
                <w:i/>
                <w:sz w:val="22"/>
                <w:szCs w:val="22"/>
              </w:rPr>
              <w:t xml:space="preserve"> meet the first emissions budgets from 2022-35? What evidence is there to </w:t>
            </w:r>
            <w:r>
              <w:rPr>
                <w:rFonts w:ascii="Arial" w:hAnsi="Arial" w:cs="Arial"/>
                <w:i/>
                <w:sz w:val="22"/>
                <w:szCs w:val="22"/>
                <w:lang w:val="en-NZ"/>
              </w:rPr>
              <w:t>suggest they would be effective?</w:t>
            </w:r>
            <w:r>
              <w:rPr>
                <w:rFonts w:ascii="Arial" w:hAnsi="Arial" w:cs="Arial"/>
                <w:i/>
                <w:sz w:val="22"/>
                <w:szCs w:val="22"/>
              </w:rPr>
              <w:t xml:space="preserve">  </w:t>
            </w:r>
          </w:p>
        </w:tc>
      </w:tr>
      <w:tr w:rsidR="002869DD" w14:paraId="6E92EFFF" w14:textId="77777777" w:rsidTr="002854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28F50959" w14:textId="77777777" w:rsidR="002869DD" w:rsidRDefault="002869DD" w:rsidP="005F4DDD">
            <w:pPr>
              <w:pStyle w:val="BodyBullet"/>
              <w:spacing w:after="200" w:line="276" w:lineRule="auto"/>
              <w:rPr>
                <w:rFonts w:ascii="Arial" w:hAnsi="Arial" w:cs="Arial"/>
                <w:i/>
                <w:sz w:val="22"/>
                <w:szCs w:val="22"/>
              </w:rPr>
            </w:pPr>
            <w:r>
              <w:rPr>
                <w:rFonts w:ascii="Arial" w:hAnsi="Arial" w:cs="Arial"/>
                <w:i/>
                <w:sz w:val="22"/>
                <w:szCs w:val="22"/>
              </w:rPr>
              <w:t xml:space="preserve">Answer: </w:t>
            </w:r>
          </w:p>
          <w:p w14:paraId="5B747159" w14:textId="77777777" w:rsidR="002869DD" w:rsidRPr="00B237F6" w:rsidRDefault="002869DD" w:rsidP="00D17EB6">
            <w:pPr>
              <w:pStyle w:val="BodyBullet"/>
              <w:numPr>
                <w:ilvl w:val="0"/>
                <w:numId w:val="34"/>
              </w:numPr>
              <w:spacing w:after="200" w:line="276" w:lineRule="auto"/>
              <w:rPr>
                <w:rFonts w:ascii="Arial" w:hAnsi="Arial" w:cs="Arial"/>
                <w:b w:val="0"/>
                <w:sz w:val="22"/>
                <w:szCs w:val="22"/>
              </w:rPr>
            </w:pPr>
            <w:r>
              <w:rPr>
                <w:rFonts w:ascii="Arial" w:hAnsi="Arial" w:cs="Arial"/>
                <w:b w:val="0"/>
                <w:sz w:val="22"/>
                <w:szCs w:val="22"/>
              </w:rPr>
              <w:t>Across the economy as a whole, it is critical to have effective pricing instruments at work, especially for the long-lived gases (CO</w:t>
            </w:r>
            <w:r w:rsidRPr="0027190E">
              <w:rPr>
                <w:rFonts w:ascii="Arial" w:hAnsi="Arial" w:cs="Arial"/>
                <w:b w:val="0"/>
                <w:sz w:val="22"/>
                <w:szCs w:val="22"/>
                <w:vertAlign w:val="subscript"/>
              </w:rPr>
              <w:t>2</w:t>
            </w:r>
            <w:r>
              <w:rPr>
                <w:rFonts w:ascii="Arial" w:hAnsi="Arial" w:cs="Arial"/>
                <w:b w:val="0"/>
                <w:sz w:val="22"/>
                <w:szCs w:val="22"/>
              </w:rPr>
              <w:t xml:space="preserve"> and N</w:t>
            </w:r>
            <w:r w:rsidRPr="0027190E">
              <w:rPr>
                <w:rFonts w:ascii="Arial" w:hAnsi="Arial" w:cs="Arial"/>
                <w:b w:val="0"/>
                <w:sz w:val="22"/>
                <w:szCs w:val="22"/>
                <w:vertAlign w:val="subscript"/>
              </w:rPr>
              <w:t>2</w:t>
            </w:r>
            <w:r>
              <w:rPr>
                <w:rFonts w:ascii="Arial" w:hAnsi="Arial" w:cs="Arial"/>
                <w:b w:val="0"/>
                <w:sz w:val="22"/>
                <w:szCs w:val="22"/>
              </w:rPr>
              <w:t xml:space="preserve">O). We accept that in regard to methane there will be a separate pricing and incentive structure. </w:t>
            </w:r>
          </w:p>
          <w:p w14:paraId="1D2D5141" w14:textId="77777777" w:rsidR="002869DD" w:rsidRPr="0027190E" w:rsidRDefault="002869DD" w:rsidP="0027190E">
            <w:pPr>
              <w:pStyle w:val="BodyBullet"/>
              <w:numPr>
                <w:ilvl w:val="0"/>
                <w:numId w:val="34"/>
              </w:numPr>
              <w:spacing w:after="200" w:line="276" w:lineRule="auto"/>
              <w:rPr>
                <w:rFonts w:ascii="Arial" w:hAnsi="Arial" w:cs="Arial"/>
                <w:b w:val="0"/>
                <w:sz w:val="22"/>
                <w:szCs w:val="22"/>
              </w:rPr>
            </w:pPr>
            <w:r>
              <w:rPr>
                <w:rFonts w:ascii="Arial" w:hAnsi="Arial" w:cs="Arial"/>
                <w:b w:val="0"/>
                <w:sz w:val="22"/>
                <w:szCs w:val="22"/>
              </w:rPr>
              <w:t xml:space="preserve">In regard to carbon pricing, it is critical that arrangements signal rising carbon prices over time. We note the evidence from emerging literature that the social cost of carbon may be up to around NZ$600 (up to US$400) and likely to rise </w:t>
            </w:r>
            <w:r w:rsidRPr="00B237F6">
              <w:rPr>
                <w:rFonts w:ascii="Arial" w:hAnsi="Arial" w:cs="Arial"/>
                <w:bCs w:val="0"/>
                <w:noProof/>
                <w:sz w:val="22"/>
                <w:szCs w:val="22"/>
              </w:rPr>
              <w:t>(Ricke, Drouet, Caldeira, &amp; Tavoni, 2018)</w:t>
            </w:r>
            <w:r w:rsidRPr="00B237F6">
              <w:rPr>
                <w:rFonts w:ascii="Arial" w:hAnsi="Arial" w:cs="Arial"/>
                <w:b w:val="0"/>
                <w:sz w:val="22"/>
                <w:szCs w:val="22"/>
              </w:rPr>
              <w:t xml:space="preserve">. New Zealand to date has faced an </w:t>
            </w:r>
            <w:r>
              <w:rPr>
                <w:rFonts w:ascii="Arial" w:hAnsi="Arial" w:cs="Arial"/>
                <w:b w:val="0"/>
                <w:sz w:val="22"/>
                <w:szCs w:val="22"/>
              </w:rPr>
              <w:t>undesirably</w:t>
            </w:r>
            <w:r w:rsidRPr="00B237F6">
              <w:rPr>
                <w:rFonts w:ascii="Arial" w:hAnsi="Arial" w:cs="Arial"/>
                <w:b w:val="0"/>
                <w:sz w:val="22"/>
                <w:szCs w:val="22"/>
              </w:rPr>
              <w:t xml:space="preserve"> low cost of carbon, and this needs to be raised to reflect the best scientific and economic evidence on the social cost of carbon, with a careful but repeated public explanation of why it is necessary for the price to rise.</w:t>
            </w:r>
          </w:p>
        </w:tc>
      </w:tr>
    </w:tbl>
    <w:p w14:paraId="160DEB1F" w14:textId="77777777" w:rsidR="002869DD" w:rsidRDefault="002869DD" w:rsidP="005F4DDD">
      <w:pPr>
        <w:pStyle w:val="Body1"/>
        <w:spacing w:before="300" w:after="200" w:line="276" w:lineRule="auto"/>
        <w:contextualSpacing/>
        <w:rPr>
          <w:rFonts w:ascii="Arial" w:hAnsi="Arial" w:cs="Arial"/>
          <w:sz w:val="22"/>
          <w:szCs w:val="22"/>
          <w:lang w:val="en-NZ"/>
        </w:rPr>
      </w:pPr>
    </w:p>
    <w:tbl>
      <w:tblPr>
        <w:tblStyle w:val="GridTable4-Accent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869DD" w14:paraId="12665B8F" w14:textId="77777777" w:rsidTr="005F4D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2F01C3E1" w14:textId="77777777" w:rsidR="002869DD" w:rsidRDefault="002869DD" w:rsidP="009118C2">
            <w:pPr>
              <w:pStyle w:val="BodyBullet"/>
              <w:spacing w:after="200" w:line="276" w:lineRule="auto"/>
              <w:rPr>
                <w:rFonts w:ascii="Arial" w:hAnsi="Arial" w:cs="Arial"/>
                <w:i/>
                <w:sz w:val="22"/>
                <w:szCs w:val="22"/>
              </w:rPr>
            </w:pPr>
            <w:r>
              <w:rPr>
                <w:rFonts w:ascii="Arial" w:hAnsi="Arial" w:cs="Arial"/>
                <w:i/>
                <w:sz w:val="22"/>
                <w:szCs w:val="22"/>
              </w:rPr>
              <w:t xml:space="preserve">Question 8: </w:t>
            </w:r>
          </w:p>
          <w:p w14:paraId="71C44A61" w14:textId="77777777" w:rsidR="002869DD" w:rsidRDefault="002869DD" w:rsidP="009118C2">
            <w:pPr>
              <w:pStyle w:val="BodyBullet"/>
              <w:spacing w:after="200" w:line="276" w:lineRule="auto"/>
              <w:rPr>
                <w:rFonts w:ascii="Arial" w:hAnsi="Arial" w:cs="Arial"/>
                <w:i/>
                <w:sz w:val="22"/>
                <w:szCs w:val="22"/>
              </w:rPr>
            </w:pPr>
            <w:r>
              <w:rPr>
                <w:rFonts w:ascii="Arial" w:hAnsi="Arial" w:cs="Arial"/>
                <w:i/>
                <w:sz w:val="22"/>
                <w:szCs w:val="22"/>
              </w:rPr>
              <w:t>What policies (sector-specific or cross-sector) do you think are needed now to prepare for meeting budgets beyond 2035? What evidence supports your answer?</w:t>
            </w:r>
          </w:p>
        </w:tc>
      </w:tr>
      <w:tr w:rsidR="002869DD" w14:paraId="43549BDD" w14:textId="77777777" w:rsidTr="002854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7BD33B36" w14:textId="77777777" w:rsidR="002869DD" w:rsidRDefault="002869DD" w:rsidP="005F4DDD">
            <w:pPr>
              <w:pStyle w:val="BodyBullet"/>
              <w:spacing w:after="200" w:line="276" w:lineRule="auto"/>
              <w:rPr>
                <w:rFonts w:ascii="Arial" w:hAnsi="Arial" w:cs="Arial"/>
                <w:i/>
                <w:sz w:val="22"/>
                <w:szCs w:val="22"/>
              </w:rPr>
            </w:pPr>
            <w:r>
              <w:rPr>
                <w:rFonts w:ascii="Arial" w:hAnsi="Arial" w:cs="Arial"/>
                <w:i/>
                <w:sz w:val="22"/>
                <w:szCs w:val="22"/>
              </w:rPr>
              <w:t xml:space="preserve">Answer: </w:t>
            </w:r>
          </w:p>
          <w:p w14:paraId="719384A5" w14:textId="77777777" w:rsidR="002869DD" w:rsidRPr="008243BB" w:rsidRDefault="002869DD" w:rsidP="005F4DDD">
            <w:pPr>
              <w:pStyle w:val="BodyBullet"/>
              <w:spacing w:after="200" w:line="276" w:lineRule="auto"/>
              <w:rPr>
                <w:rFonts w:ascii="Arial" w:hAnsi="Arial" w:cs="Arial"/>
                <w:b w:val="0"/>
                <w:bCs w:val="0"/>
                <w:iCs/>
                <w:sz w:val="22"/>
                <w:szCs w:val="22"/>
              </w:rPr>
            </w:pPr>
            <w:r w:rsidRPr="008243BB">
              <w:rPr>
                <w:rFonts w:ascii="Arial" w:hAnsi="Arial" w:cs="Arial"/>
                <w:b w:val="0"/>
                <w:bCs w:val="0"/>
                <w:iCs/>
                <w:sz w:val="22"/>
                <w:szCs w:val="22"/>
              </w:rPr>
              <w:t xml:space="preserve">It will be important to </w:t>
            </w:r>
            <w:r>
              <w:rPr>
                <w:rFonts w:ascii="Arial" w:hAnsi="Arial" w:cs="Arial"/>
                <w:b w:val="0"/>
                <w:bCs w:val="0"/>
                <w:iCs/>
                <w:sz w:val="22"/>
                <w:szCs w:val="22"/>
              </w:rPr>
              <w:t xml:space="preserve">undertake a long-term educational programme to increase understanding of the need to continue mitigating climate change, through a range of complementary measures which is not limited to pricing of carbon. </w:t>
            </w:r>
          </w:p>
        </w:tc>
      </w:tr>
    </w:tbl>
    <w:p w14:paraId="1FEC32BF" w14:textId="77777777" w:rsidR="002869DD" w:rsidRDefault="002869DD" w:rsidP="001539CB">
      <w:pPr>
        <w:pStyle w:val="BodyBullet"/>
        <w:spacing w:after="200" w:line="276" w:lineRule="auto"/>
        <w:rPr>
          <w:rFonts w:ascii="Arial" w:hAnsi="Arial" w:cs="Arial"/>
          <w:b/>
          <w:sz w:val="22"/>
          <w:szCs w:val="22"/>
        </w:rPr>
      </w:pPr>
    </w:p>
    <w:p w14:paraId="43638B79" w14:textId="77777777" w:rsidR="002869DD" w:rsidRDefault="002869DD" w:rsidP="001539CB">
      <w:pPr>
        <w:pStyle w:val="BodyBullet"/>
        <w:spacing w:after="200" w:line="276" w:lineRule="auto"/>
        <w:rPr>
          <w:rFonts w:ascii="Arial" w:hAnsi="Arial" w:cs="Arial"/>
          <w:b/>
          <w:sz w:val="22"/>
          <w:szCs w:val="22"/>
        </w:rPr>
      </w:pPr>
      <w:r>
        <w:rPr>
          <w:rFonts w:ascii="Arial" w:hAnsi="Arial" w:cs="Arial"/>
          <w:b/>
          <w:sz w:val="22"/>
          <w:szCs w:val="22"/>
        </w:rPr>
        <w:t>Section C</w:t>
      </w:r>
      <w:r>
        <w:rPr>
          <w:rFonts w:ascii="Arial" w:hAnsi="Arial" w:cs="Arial"/>
          <w:b/>
          <w:sz w:val="22"/>
          <w:szCs w:val="22"/>
        </w:rPr>
        <w:tab/>
        <w:t xml:space="preserve">Impacts of emissions budgets </w:t>
      </w:r>
    </w:p>
    <w:p w14:paraId="5CEA82BD" w14:textId="77777777" w:rsidR="002869DD" w:rsidRDefault="002869DD" w:rsidP="003E7D0C">
      <w:pPr>
        <w:pStyle w:val="BodyBullet"/>
        <w:spacing w:after="200" w:line="276" w:lineRule="auto"/>
        <w:rPr>
          <w:rFonts w:ascii="Arial" w:hAnsi="Arial" w:cs="Arial"/>
          <w:sz w:val="22"/>
          <w:szCs w:val="22"/>
        </w:rPr>
      </w:pPr>
      <w:r>
        <w:rPr>
          <w:rFonts w:ascii="Arial" w:hAnsi="Arial" w:cs="Arial"/>
          <w:sz w:val="22"/>
          <w:szCs w:val="22"/>
        </w:rPr>
        <w:t>The proposed Commission will need to consider the potential social, cultural, economic and environmental impacts of emission budgets on New Zealanders, including how any impacts may fall across regions and communities, and from generation to generation. Potential impacts may be either positive or negative.</w:t>
      </w:r>
    </w:p>
    <w:tbl>
      <w:tblPr>
        <w:tblStyle w:val="GridTable4-Accent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869DD" w14:paraId="7A6E3713" w14:textId="77777777" w:rsidTr="005F4D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2BA66813" w14:textId="77777777" w:rsidR="002869DD" w:rsidRDefault="002869DD" w:rsidP="00BA336C">
            <w:pPr>
              <w:pStyle w:val="BodyBullet"/>
              <w:spacing w:after="200" w:line="276" w:lineRule="auto"/>
              <w:rPr>
                <w:rFonts w:ascii="Arial" w:hAnsi="Arial" w:cs="Arial"/>
                <w:i/>
                <w:sz w:val="22"/>
                <w:szCs w:val="22"/>
              </w:rPr>
            </w:pPr>
            <w:r>
              <w:rPr>
                <w:rFonts w:ascii="Arial" w:hAnsi="Arial" w:cs="Arial"/>
                <w:i/>
                <w:sz w:val="22"/>
                <w:szCs w:val="22"/>
              </w:rPr>
              <w:t xml:space="preserve">Question 9: </w:t>
            </w:r>
          </w:p>
          <w:p w14:paraId="29F36B75" w14:textId="77777777" w:rsidR="002869DD" w:rsidRPr="00C1294E" w:rsidRDefault="002869DD" w:rsidP="00550CB4">
            <w:pPr>
              <w:pStyle w:val="BodyBullet"/>
              <w:spacing w:after="200" w:line="276" w:lineRule="auto"/>
              <w:rPr>
                <w:rFonts w:ascii="Arial" w:hAnsi="Arial" w:cs="Arial"/>
                <w:i/>
                <w:sz w:val="22"/>
                <w:szCs w:val="22"/>
                <w:lang w:val="en-NZ"/>
              </w:rPr>
            </w:pPr>
            <w:r w:rsidRPr="00D63806">
              <w:rPr>
                <w:rFonts w:ascii="Arial" w:hAnsi="Arial" w:cs="Arial"/>
                <w:i/>
                <w:sz w:val="22"/>
                <w:szCs w:val="22"/>
              </w:rPr>
              <w:t xml:space="preserve">What evidence </w:t>
            </w:r>
            <w:r>
              <w:rPr>
                <w:rFonts w:ascii="Arial" w:hAnsi="Arial" w:cs="Arial"/>
                <w:i/>
                <w:sz w:val="22"/>
                <w:szCs w:val="22"/>
              </w:rPr>
              <w:t xml:space="preserve">do you think </w:t>
            </w:r>
            <w:r w:rsidRPr="00D63806">
              <w:rPr>
                <w:rFonts w:ascii="Arial" w:hAnsi="Arial" w:cs="Arial"/>
                <w:i/>
                <w:sz w:val="22"/>
                <w:szCs w:val="22"/>
              </w:rPr>
              <w:t xml:space="preserve">the </w:t>
            </w:r>
            <w:r>
              <w:rPr>
                <w:rFonts w:ascii="Arial" w:hAnsi="Arial" w:cs="Arial"/>
                <w:i/>
                <w:sz w:val="22"/>
                <w:szCs w:val="22"/>
              </w:rPr>
              <w:t xml:space="preserve">proposed </w:t>
            </w:r>
            <w:r w:rsidRPr="00D63806">
              <w:rPr>
                <w:rFonts w:ascii="Arial" w:hAnsi="Arial" w:cs="Arial"/>
                <w:i/>
                <w:sz w:val="22"/>
                <w:szCs w:val="22"/>
              </w:rPr>
              <w:t xml:space="preserve">Commission </w:t>
            </w:r>
            <w:r>
              <w:rPr>
                <w:rFonts w:ascii="Arial" w:hAnsi="Arial" w:cs="Arial"/>
                <w:i/>
                <w:sz w:val="22"/>
                <w:szCs w:val="22"/>
              </w:rPr>
              <w:t xml:space="preserve">should </w:t>
            </w:r>
            <w:r w:rsidRPr="00D63806">
              <w:rPr>
                <w:rFonts w:ascii="Arial" w:hAnsi="Arial" w:cs="Arial"/>
                <w:i/>
                <w:sz w:val="22"/>
                <w:szCs w:val="22"/>
              </w:rPr>
              <w:t>draw upon to assess the impacts of emissions budgets</w:t>
            </w:r>
            <w:r>
              <w:rPr>
                <w:rFonts w:ascii="Arial" w:hAnsi="Arial" w:cs="Arial"/>
                <w:i/>
                <w:sz w:val="22"/>
                <w:szCs w:val="22"/>
              </w:rPr>
              <w:t xml:space="preserve">? </w:t>
            </w:r>
          </w:p>
        </w:tc>
      </w:tr>
      <w:tr w:rsidR="002869DD" w14:paraId="1515367D" w14:textId="77777777" w:rsidTr="005F4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FFFFFF" w:themeFill="background1"/>
          </w:tcPr>
          <w:p w14:paraId="7143D05B" w14:textId="77777777" w:rsidR="002869DD" w:rsidRDefault="002869DD" w:rsidP="005C4BAD">
            <w:pPr>
              <w:pStyle w:val="BodyBullet"/>
              <w:spacing w:after="200" w:line="276" w:lineRule="auto"/>
              <w:rPr>
                <w:rFonts w:ascii="Arial" w:hAnsi="Arial" w:cs="Arial"/>
                <w:i/>
                <w:sz w:val="22"/>
                <w:szCs w:val="22"/>
              </w:rPr>
            </w:pPr>
            <w:r>
              <w:rPr>
                <w:rFonts w:ascii="Arial" w:hAnsi="Arial" w:cs="Arial"/>
                <w:i/>
                <w:sz w:val="22"/>
                <w:szCs w:val="22"/>
              </w:rPr>
              <w:t xml:space="preserve">Answer: </w:t>
            </w:r>
          </w:p>
          <w:p w14:paraId="519D2805" w14:textId="77777777" w:rsidR="002869DD" w:rsidRPr="008243BB" w:rsidRDefault="002869DD" w:rsidP="005C4BAD">
            <w:pPr>
              <w:pStyle w:val="BodyBullet"/>
              <w:spacing w:after="200" w:line="276" w:lineRule="auto"/>
              <w:rPr>
                <w:rFonts w:ascii="Arial" w:hAnsi="Arial" w:cs="Arial"/>
                <w:b w:val="0"/>
                <w:bCs w:val="0"/>
                <w:iCs/>
                <w:sz w:val="22"/>
                <w:szCs w:val="22"/>
              </w:rPr>
            </w:pPr>
            <w:r>
              <w:rPr>
                <w:rFonts w:ascii="Arial" w:hAnsi="Arial" w:cs="Arial"/>
                <w:b w:val="0"/>
                <w:bCs w:val="0"/>
                <w:iCs/>
                <w:sz w:val="22"/>
                <w:szCs w:val="22"/>
              </w:rPr>
              <w:lastRenderedPageBreak/>
              <w:t>In line with the commitment to a just transition, r</w:t>
            </w:r>
            <w:r w:rsidRPr="008243BB">
              <w:rPr>
                <w:rFonts w:ascii="Arial" w:hAnsi="Arial" w:cs="Arial"/>
                <w:b w:val="0"/>
                <w:bCs w:val="0"/>
                <w:iCs/>
                <w:sz w:val="22"/>
                <w:szCs w:val="22"/>
              </w:rPr>
              <w:t xml:space="preserve">esearch is needed on distributional effects and measures to mitigate these impacts. </w:t>
            </w:r>
            <w:r>
              <w:rPr>
                <w:rFonts w:ascii="Arial" w:hAnsi="Arial" w:cs="Arial"/>
                <w:b w:val="0"/>
                <w:bCs w:val="0"/>
                <w:iCs/>
                <w:sz w:val="22"/>
                <w:szCs w:val="22"/>
              </w:rPr>
              <w:t xml:space="preserve">However, alongside this, it will also be important to measure the </w:t>
            </w:r>
            <w:r w:rsidRPr="008243BB">
              <w:rPr>
                <w:rFonts w:ascii="Arial" w:hAnsi="Arial" w:cs="Arial"/>
                <w:i/>
                <w:sz w:val="22"/>
                <w:szCs w:val="22"/>
              </w:rPr>
              <w:t>beneficial effects</w:t>
            </w:r>
            <w:r>
              <w:rPr>
                <w:rFonts w:ascii="Arial" w:hAnsi="Arial" w:cs="Arial"/>
                <w:b w:val="0"/>
                <w:bCs w:val="0"/>
                <w:iCs/>
                <w:sz w:val="22"/>
                <w:szCs w:val="22"/>
              </w:rPr>
              <w:t xml:space="preserve"> of policies, i.e. policy co-benefits, and their distribution </w:t>
            </w:r>
            <w:r w:rsidRPr="002869DD">
              <w:rPr>
                <w:rFonts w:ascii="Arial" w:hAnsi="Arial" w:cs="Arial"/>
                <w:bCs w:val="0"/>
                <w:iCs/>
                <w:sz w:val="22"/>
                <w:szCs w:val="22"/>
              </w:rPr>
              <w:t>(</w:t>
            </w:r>
            <w:r w:rsidR="00CC4D58" w:rsidRPr="00CC4D58">
              <w:rPr>
                <w:rFonts w:ascii="Arial" w:hAnsi="Arial" w:cs="Arial"/>
                <w:b w:val="0"/>
                <w:bCs w:val="0"/>
                <w:iCs/>
                <w:color w:val="auto"/>
                <w:sz w:val="22"/>
                <w:szCs w:val="22"/>
              </w:rPr>
              <w:t>for example</w:t>
            </w:r>
            <w:r w:rsidR="00CC4D58" w:rsidRPr="00CC4D58">
              <w:rPr>
                <w:rFonts w:ascii="Arial" w:hAnsi="Arial" w:cs="Arial"/>
                <w:bCs w:val="0"/>
                <w:iCs/>
                <w:color w:val="auto"/>
                <w:sz w:val="22"/>
                <w:szCs w:val="22"/>
              </w:rPr>
              <w:t xml:space="preserve"> </w:t>
            </w:r>
            <w:r w:rsidRPr="002869DD">
              <w:rPr>
                <w:rFonts w:ascii="Arial" w:hAnsi="Arial" w:cs="Arial"/>
                <w:bCs w:val="0"/>
                <w:iCs/>
                <w:sz w:val="22"/>
                <w:szCs w:val="22"/>
              </w:rPr>
              <w:t>Bennett et al 2014; Haines A. 2017).</w:t>
            </w:r>
            <w:r>
              <w:rPr>
                <w:rFonts w:ascii="Arial" w:hAnsi="Arial" w:cs="Arial"/>
                <w:b w:val="0"/>
                <w:bCs w:val="0"/>
                <w:iCs/>
                <w:sz w:val="22"/>
                <w:szCs w:val="22"/>
              </w:rPr>
              <w:t xml:space="preserve"> </w:t>
            </w:r>
          </w:p>
        </w:tc>
      </w:tr>
      <w:tr w:rsidR="002869DD" w14:paraId="74393C3F" w14:textId="77777777" w:rsidTr="005F4DDD">
        <w:tc>
          <w:tcPr>
            <w:cnfStyle w:val="001000000000" w:firstRow="0" w:lastRow="0" w:firstColumn="1" w:lastColumn="0" w:oddVBand="0" w:evenVBand="0" w:oddHBand="0" w:evenHBand="0" w:firstRowFirstColumn="0" w:firstRowLastColumn="0" w:lastRowFirstColumn="0" w:lastRowLastColumn="0"/>
            <w:tcW w:w="9016" w:type="dxa"/>
            <w:shd w:val="clear" w:color="auto" w:fill="F2F2F2" w:themeFill="background1" w:themeFillShade="F2"/>
          </w:tcPr>
          <w:p w14:paraId="69D817C0" w14:textId="77777777" w:rsidR="002869DD" w:rsidRPr="00192180" w:rsidRDefault="002869DD" w:rsidP="00BA336C">
            <w:pPr>
              <w:pStyle w:val="BodyBullet"/>
              <w:spacing w:after="200" w:line="276" w:lineRule="auto"/>
              <w:rPr>
                <w:rFonts w:ascii="Arial" w:hAnsi="Arial" w:cs="Arial"/>
                <w:i/>
                <w:sz w:val="22"/>
                <w:szCs w:val="22"/>
              </w:rPr>
            </w:pPr>
            <w:r w:rsidRPr="00192180">
              <w:rPr>
                <w:rFonts w:ascii="Arial" w:hAnsi="Arial" w:cs="Arial"/>
                <w:i/>
                <w:sz w:val="22"/>
                <w:szCs w:val="22"/>
              </w:rPr>
              <w:lastRenderedPageBreak/>
              <w:t xml:space="preserve">Question 10: </w:t>
            </w:r>
          </w:p>
          <w:p w14:paraId="2213FF63" w14:textId="77777777" w:rsidR="002869DD" w:rsidRPr="00C1294E" w:rsidRDefault="002869DD" w:rsidP="00DA061F">
            <w:pPr>
              <w:pStyle w:val="BodyBullet"/>
              <w:spacing w:after="200" w:line="276" w:lineRule="auto"/>
              <w:rPr>
                <w:rFonts w:ascii="Arial" w:hAnsi="Arial" w:cs="Arial"/>
                <w:i/>
                <w:sz w:val="22"/>
                <w:szCs w:val="22"/>
                <w:lang w:val="en-NZ"/>
              </w:rPr>
            </w:pPr>
            <w:r w:rsidRPr="00192180">
              <w:rPr>
                <w:rFonts w:ascii="Arial" w:hAnsi="Arial" w:cs="Arial"/>
                <w:i/>
                <w:sz w:val="22"/>
                <w:szCs w:val="22"/>
              </w:rPr>
              <w:t xml:space="preserve">What policies do you think the </w:t>
            </w:r>
            <w:r>
              <w:rPr>
                <w:rFonts w:ascii="Arial" w:hAnsi="Arial" w:cs="Arial"/>
                <w:i/>
                <w:sz w:val="22"/>
                <w:szCs w:val="22"/>
              </w:rPr>
              <w:t xml:space="preserve">proposed </w:t>
            </w:r>
            <w:r w:rsidRPr="00192180">
              <w:rPr>
                <w:rFonts w:ascii="Arial" w:hAnsi="Arial" w:cs="Arial"/>
                <w:i/>
                <w:sz w:val="22"/>
                <w:szCs w:val="22"/>
              </w:rPr>
              <w:t xml:space="preserve">Commission should consider </w:t>
            </w:r>
            <w:proofErr w:type="gramStart"/>
            <w:r>
              <w:rPr>
                <w:rFonts w:ascii="Arial" w:hAnsi="Arial" w:cs="Arial"/>
                <w:i/>
                <w:sz w:val="22"/>
                <w:szCs w:val="22"/>
              </w:rPr>
              <w:t>to manage</w:t>
            </w:r>
            <w:proofErr w:type="gramEnd"/>
            <w:r w:rsidRPr="00192180">
              <w:rPr>
                <w:rFonts w:ascii="Arial" w:hAnsi="Arial" w:cs="Arial"/>
                <w:i/>
                <w:sz w:val="22"/>
                <w:szCs w:val="22"/>
              </w:rPr>
              <w:t xml:space="preserve"> </w:t>
            </w:r>
            <w:r>
              <w:rPr>
                <w:rFonts w:ascii="Arial" w:hAnsi="Arial" w:cs="Arial"/>
                <w:i/>
                <w:sz w:val="22"/>
                <w:szCs w:val="22"/>
              </w:rPr>
              <w:t>any</w:t>
            </w:r>
            <w:r w:rsidRPr="00192180">
              <w:rPr>
                <w:rFonts w:ascii="Arial" w:hAnsi="Arial" w:cs="Arial"/>
                <w:i/>
                <w:sz w:val="22"/>
                <w:szCs w:val="22"/>
              </w:rPr>
              <w:t xml:space="preserve"> impacts of meeting emissions budgets? Please provide evidence </w:t>
            </w:r>
            <w:r>
              <w:rPr>
                <w:rFonts w:ascii="Arial" w:hAnsi="Arial" w:cs="Arial"/>
                <w:i/>
                <w:sz w:val="22"/>
                <w:szCs w:val="22"/>
              </w:rPr>
              <w:t>and/or</w:t>
            </w:r>
            <w:r w:rsidRPr="00192180">
              <w:rPr>
                <w:rFonts w:ascii="Arial" w:hAnsi="Arial" w:cs="Arial"/>
                <w:i/>
                <w:sz w:val="22"/>
                <w:szCs w:val="22"/>
              </w:rPr>
              <w:t xml:space="preserve"> data to support your assessment.</w:t>
            </w:r>
          </w:p>
        </w:tc>
      </w:tr>
      <w:tr w:rsidR="002869DD" w14:paraId="6B0F5C76" w14:textId="77777777" w:rsidTr="005F4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52C9416F" w14:textId="77777777" w:rsidR="002869DD" w:rsidRDefault="002869DD" w:rsidP="005C4BAD">
            <w:pPr>
              <w:pStyle w:val="BodyBullet"/>
              <w:spacing w:after="200" w:line="276" w:lineRule="auto"/>
              <w:rPr>
                <w:rFonts w:ascii="Arial" w:hAnsi="Arial" w:cs="Arial"/>
                <w:i/>
                <w:sz w:val="22"/>
                <w:szCs w:val="22"/>
              </w:rPr>
            </w:pPr>
            <w:r>
              <w:rPr>
                <w:rFonts w:ascii="Arial" w:hAnsi="Arial" w:cs="Arial"/>
                <w:i/>
                <w:sz w:val="22"/>
                <w:szCs w:val="22"/>
              </w:rPr>
              <w:t xml:space="preserve">Answer: </w:t>
            </w:r>
          </w:p>
          <w:p w14:paraId="0DE0259B" w14:textId="77777777" w:rsidR="002869DD" w:rsidRPr="00ED145D" w:rsidRDefault="002869DD" w:rsidP="005C4BAD">
            <w:pPr>
              <w:pStyle w:val="BodyBullet"/>
              <w:spacing w:after="200" w:line="276" w:lineRule="auto"/>
              <w:rPr>
                <w:rFonts w:ascii="Arial" w:hAnsi="Arial" w:cs="Arial"/>
                <w:b w:val="0"/>
                <w:bCs w:val="0"/>
                <w:iCs/>
                <w:sz w:val="22"/>
                <w:szCs w:val="22"/>
              </w:rPr>
            </w:pPr>
            <w:r w:rsidRPr="00ED145D">
              <w:rPr>
                <w:rFonts w:ascii="Arial" w:hAnsi="Arial" w:cs="Arial"/>
                <w:b w:val="0"/>
                <w:bCs w:val="0"/>
                <w:iCs/>
                <w:sz w:val="22"/>
                <w:szCs w:val="22"/>
              </w:rPr>
              <w:t xml:space="preserve">In principle, </w:t>
            </w:r>
            <w:r>
              <w:rPr>
                <w:rFonts w:ascii="Arial" w:hAnsi="Arial" w:cs="Arial"/>
                <w:b w:val="0"/>
                <w:bCs w:val="0"/>
                <w:iCs/>
                <w:sz w:val="22"/>
                <w:szCs w:val="22"/>
              </w:rPr>
              <w:t xml:space="preserve">any adverse distributional impacts can be managed through (a) the tax and benefit system; and (b) active labour market policies. However, there needs to be active monitoring of impacts and adjustment of policies to ensure significant unintended effects on disadvantaged groups are addressed and minimised. </w:t>
            </w:r>
          </w:p>
        </w:tc>
      </w:tr>
    </w:tbl>
    <w:p w14:paraId="475AFAB3" w14:textId="77777777" w:rsidR="002869DD" w:rsidRDefault="002869DD" w:rsidP="003E7D0C">
      <w:pPr>
        <w:pStyle w:val="BodyBullet"/>
        <w:spacing w:after="200" w:line="276" w:lineRule="auto"/>
        <w:rPr>
          <w:rFonts w:ascii="Arial" w:hAnsi="Arial" w:cs="Arial"/>
          <w:b/>
          <w:sz w:val="22"/>
          <w:szCs w:val="22"/>
        </w:rPr>
      </w:pPr>
    </w:p>
    <w:p w14:paraId="08508B29" w14:textId="77777777" w:rsidR="002869DD" w:rsidRDefault="002869DD" w:rsidP="003E7D0C">
      <w:pPr>
        <w:pStyle w:val="BodyBullet"/>
        <w:spacing w:after="200" w:line="276" w:lineRule="auto"/>
        <w:rPr>
          <w:rFonts w:ascii="Arial" w:hAnsi="Arial" w:cs="Arial"/>
          <w:i/>
          <w:sz w:val="22"/>
          <w:szCs w:val="22"/>
        </w:rPr>
      </w:pPr>
      <w:r>
        <w:rPr>
          <w:rFonts w:ascii="Arial" w:hAnsi="Arial" w:cs="Arial"/>
          <w:b/>
          <w:sz w:val="22"/>
          <w:szCs w:val="22"/>
        </w:rPr>
        <w:t>Section D</w:t>
      </w:r>
      <w:r w:rsidRPr="00ED107D">
        <w:rPr>
          <w:rFonts w:ascii="Arial" w:hAnsi="Arial" w:cs="Arial"/>
          <w:b/>
          <w:sz w:val="22"/>
          <w:szCs w:val="22"/>
        </w:rPr>
        <w:tab/>
      </w:r>
      <w:r>
        <w:rPr>
          <w:rFonts w:ascii="Arial" w:hAnsi="Arial" w:cs="Arial"/>
          <w:b/>
          <w:sz w:val="22"/>
          <w:szCs w:val="22"/>
        </w:rPr>
        <w:t xml:space="preserve">Other considerations, evidence or experience </w:t>
      </w:r>
    </w:p>
    <w:tbl>
      <w:tblPr>
        <w:tblStyle w:val="GridTable4-Accent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869DD" w:rsidRPr="00266EAA" w14:paraId="78BA8730" w14:textId="77777777" w:rsidTr="00BD7B88">
        <w:trPr>
          <w:cnfStyle w:val="100000000000" w:firstRow="1" w:lastRow="0" w:firstColumn="0" w:lastColumn="0" w:oddVBand="0" w:evenVBand="0" w:oddHBand="0" w:evenHBand="0" w:firstRowFirstColumn="0" w:firstRowLastColumn="0" w:lastRowFirstColumn="0" w:lastRowLastColumn="0"/>
          <w:trHeight w:val="1479"/>
        </w:trPr>
        <w:tc>
          <w:tcPr>
            <w:cnfStyle w:val="001000000000" w:firstRow="0" w:lastRow="0" w:firstColumn="1" w:lastColumn="0" w:oddVBand="0" w:evenVBand="0" w:oddHBand="0" w:evenHBand="0" w:firstRowFirstColumn="0" w:firstRowLastColumn="0" w:lastRowFirstColumn="0" w:lastRowLastColumn="0"/>
            <w:tcW w:w="9016"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14F7471D" w14:textId="77777777" w:rsidR="002869DD" w:rsidRDefault="002869DD" w:rsidP="005C4BAD">
            <w:pPr>
              <w:pStyle w:val="BodyBullet"/>
              <w:spacing w:after="200" w:line="276" w:lineRule="auto"/>
              <w:rPr>
                <w:rFonts w:ascii="Arial" w:hAnsi="Arial" w:cs="Arial"/>
                <w:i/>
                <w:sz w:val="22"/>
                <w:szCs w:val="22"/>
              </w:rPr>
            </w:pPr>
            <w:r>
              <w:rPr>
                <w:rFonts w:ascii="Arial" w:hAnsi="Arial" w:cs="Arial"/>
                <w:i/>
                <w:sz w:val="22"/>
                <w:szCs w:val="22"/>
              </w:rPr>
              <w:t xml:space="preserve">Question 11: </w:t>
            </w:r>
          </w:p>
          <w:p w14:paraId="6D6FE53F" w14:textId="77777777" w:rsidR="002869DD" w:rsidRPr="00C1294E" w:rsidRDefault="002869DD" w:rsidP="00BD7B88">
            <w:pPr>
              <w:pStyle w:val="BodyBullet"/>
              <w:spacing w:after="200" w:line="276" w:lineRule="auto"/>
              <w:rPr>
                <w:rFonts w:ascii="Arial" w:hAnsi="Arial" w:cs="Arial"/>
                <w:i/>
                <w:sz w:val="22"/>
                <w:szCs w:val="22"/>
                <w:lang w:val="en-NZ"/>
              </w:rPr>
            </w:pPr>
            <w:r>
              <w:rPr>
                <w:rFonts w:ascii="Arial" w:hAnsi="Arial" w:cs="Arial"/>
                <w:i/>
                <w:sz w:val="22"/>
                <w:szCs w:val="22"/>
              </w:rPr>
              <w:t xml:space="preserve">Do you have any further evidence which you believe would support the future Commission’s work on emissions budgets and emissions reduction policies and interventions? </w:t>
            </w:r>
          </w:p>
        </w:tc>
      </w:tr>
      <w:tr w:rsidR="002869DD" w14:paraId="0D67C521" w14:textId="77777777" w:rsidTr="005F4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26E12C75" w14:textId="77777777" w:rsidR="002869DD" w:rsidRDefault="002869DD" w:rsidP="005C4BAD">
            <w:pPr>
              <w:pStyle w:val="BodyBullet"/>
              <w:spacing w:after="200" w:line="276" w:lineRule="auto"/>
              <w:rPr>
                <w:rFonts w:ascii="Arial" w:hAnsi="Arial" w:cs="Arial"/>
                <w:i/>
                <w:sz w:val="22"/>
                <w:szCs w:val="22"/>
              </w:rPr>
            </w:pPr>
            <w:r>
              <w:rPr>
                <w:rFonts w:ascii="Arial" w:hAnsi="Arial" w:cs="Arial"/>
                <w:i/>
                <w:sz w:val="22"/>
                <w:szCs w:val="22"/>
              </w:rPr>
              <w:t xml:space="preserve">Answer: </w:t>
            </w:r>
          </w:p>
          <w:p w14:paraId="27734D43" w14:textId="77777777" w:rsidR="002869DD" w:rsidRPr="00295C09" w:rsidRDefault="002869DD" w:rsidP="00113CC3">
            <w:pPr>
              <w:pStyle w:val="BodyBullet"/>
              <w:spacing w:after="200" w:line="276" w:lineRule="auto"/>
              <w:rPr>
                <w:rFonts w:ascii="Arial" w:hAnsi="Arial" w:cs="Arial"/>
                <w:b w:val="0"/>
                <w:sz w:val="22"/>
                <w:szCs w:val="22"/>
              </w:rPr>
            </w:pPr>
            <w:r>
              <w:rPr>
                <w:rFonts w:ascii="Arial" w:hAnsi="Arial" w:cs="Arial"/>
                <w:b w:val="0"/>
                <w:sz w:val="22"/>
                <w:szCs w:val="22"/>
              </w:rPr>
              <w:t xml:space="preserve">In the residential sector, it tends to be both more effective and more efficient to build a new building to a high quality than it is to retrofit an older building to a similar quality. </w:t>
            </w:r>
            <w:proofErr w:type="gramStart"/>
            <w:r>
              <w:rPr>
                <w:rFonts w:ascii="Arial" w:hAnsi="Arial" w:cs="Arial"/>
                <w:b w:val="0"/>
                <w:sz w:val="22"/>
                <w:szCs w:val="22"/>
              </w:rPr>
              <w:t>Therefore</w:t>
            </w:r>
            <w:proofErr w:type="gramEnd"/>
            <w:r>
              <w:rPr>
                <w:rFonts w:ascii="Arial" w:hAnsi="Arial" w:cs="Arial"/>
                <w:b w:val="0"/>
                <w:sz w:val="22"/>
                <w:szCs w:val="22"/>
              </w:rPr>
              <w:t xml:space="preserve"> we recommend, as a matter of urgency, that the Commission investigate the upgrading of the building code to ensure that all new residences are low carbon and zero or near-zero energy buildings in order to ensure that low emissions are locked into the building for all the years of its use.</w:t>
            </w:r>
          </w:p>
        </w:tc>
      </w:tr>
    </w:tbl>
    <w:p w14:paraId="610248E5" w14:textId="77777777" w:rsidR="002869DD" w:rsidRDefault="002869DD" w:rsidP="003E7D0C"/>
    <w:p w14:paraId="2FB36517" w14:textId="77777777" w:rsidR="002869DD" w:rsidRDefault="002869DD" w:rsidP="003E7D0C"/>
    <w:p w14:paraId="1039EC6A" w14:textId="77777777" w:rsidR="002869DD" w:rsidRDefault="002869DD" w:rsidP="00D63806">
      <w:pPr>
        <w:pStyle w:val="BodyBullet"/>
        <w:spacing w:after="200" w:line="276" w:lineRule="auto"/>
        <w:rPr>
          <w:rFonts w:ascii="Arial" w:hAnsi="Arial" w:cs="Arial"/>
          <w:b/>
          <w:sz w:val="22"/>
          <w:szCs w:val="22"/>
        </w:rPr>
      </w:pPr>
      <w:r>
        <w:rPr>
          <w:rFonts w:ascii="Arial" w:hAnsi="Arial" w:cs="Arial"/>
          <w:sz w:val="22"/>
          <w:szCs w:val="22"/>
        </w:rPr>
        <w:t xml:space="preserve">Please email your completed form to </w:t>
      </w:r>
      <w:hyperlink r:id="rId15" w:history="1">
        <w:r w:rsidRPr="00535FA2">
          <w:rPr>
            <w:rStyle w:val="Hyperlink"/>
            <w:rFonts w:ascii="Arial" w:hAnsi="Arial" w:cs="Arial"/>
            <w:sz w:val="22"/>
            <w:szCs w:val="22"/>
          </w:rPr>
          <w:t>feedback@ICCC.mfe.govt.nz</w:t>
        </w:r>
      </w:hyperlink>
      <w:r>
        <w:rPr>
          <w:rFonts w:ascii="Arial" w:hAnsi="Arial" w:cs="Arial"/>
          <w:sz w:val="22"/>
          <w:szCs w:val="22"/>
        </w:rPr>
        <w:t xml:space="preserve"> by </w:t>
      </w:r>
      <w:r w:rsidRPr="00ED107D">
        <w:rPr>
          <w:rFonts w:ascii="Arial" w:hAnsi="Arial" w:cs="Arial"/>
          <w:b/>
          <w:sz w:val="22"/>
          <w:szCs w:val="22"/>
        </w:rPr>
        <w:t>12 noon</w:t>
      </w:r>
      <w:r>
        <w:rPr>
          <w:rFonts w:ascii="Arial" w:hAnsi="Arial" w:cs="Arial"/>
          <w:b/>
          <w:sz w:val="22"/>
          <w:szCs w:val="22"/>
        </w:rPr>
        <w:t>, Friday</w:t>
      </w:r>
      <w:r w:rsidRPr="00ED107D">
        <w:rPr>
          <w:rFonts w:ascii="Arial" w:hAnsi="Arial" w:cs="Arial"/>
          <w:b/>
          <w:sz w:val="22"/>
          <w:szCs w:val="22"/>
        </w:rPr>
        <w:t xml:space="preserve"> </w:t>
      </w:r>
      <w:r>
        <w:rPr>
          <w:rFonts w:ascii="Arial" w:hAnsi="Arial" w:cs="Arial"/>
          <w:b/>
          <w:sz w:val="22"/>
          <w:szCs w:val="22"/>
        </w:rPr>
        <w:t>15</w:t>
      </w:r>
      <w:r w:rsidRPr="00ED107D">
        <w:rPr>
          <w:rFonts w:ascii="Arial" w:hAnsi="Arial" w:cs="Arial"/>
          <w:b/>
          <w:sz w:val="22"/>
          <w:szCs w:val="22"/>
        </w:rPr>
        <w:t xml:space="preserve"> </w:t>
      </w:r>
      <w:r>
        <w:rPr>
          <w:rFonts w:ascii="Arial" w:hAnsi="Arial" w:cs="Arial"/>
          <w:b/>
          <w:sz w:val="22"/>
          <w:szCs w:val="22"/>
        </w:rPr>
        <w:t>Novem</w:t>
      </w:r>
      <w:r w:rsidRPr="00ED107D">
        <w:rPr>
          <w:rFonts w:ascii="Arial" w:hAnsi="Arial" w:cs="Arial"/>
          <w:b/>
          <w:sz w:val="22"/>
          <w:szCs w:val="22"/>
        </w:rPr>
        <w:t>ber 2019.</w:t>
      </w:r>
    </w:p>
    <w:p w14:paraId="192F55CF" w14:textId="77777777" w:rsidR="002869DD" w:rsidRPr="00ED107D" w:rsidRDefault="002869DD" w:rsidP="008B2CD7">
      <w:pPr>
        <w:pStyle w:val="Body1"/>
        <w:spacing w:after="200" w:line="276" w:lineRule="auto"/>
        <w:rPr>
          <w:rFonts w:ascii="Arial" w:hAnsi="Arial" w:cs="Arial"/>
          <w:b/>
          <w:bCs/>
          <w:color w:val="365F91"/>
          <w:kern w:val="32"/>
          <w:sz w:val="28"/>
          <w:szCs w:val="28"/>
        </w:rPr>
      </w:pPr>
      <w:r>
        <w:rPr>
          <w:rFonts w:ascii="Arial" w:hAnsi="Arial" w:cs="Arial"/>
          <w:sz w:val="22"/>
          <w:szCs w:val="22"/>
        </w:rPr>
        <w:t xml:space="preserve">If you have any questions about completing the call for evidence, please contact us via </w:t>
      </w:r>
      <w:hyperlink r:id="rId16" w:history="1">
        <w:r w:rsidRPr="00535FA2">
          <w:rPr>
            <w:rStyle w:val="Hyperlink"/>
            <w:rFonts w:ascii="Arial" w:hAnsi="Arial" w:cs="Arial"/>
            <w:sz w:val="22"/>
            <w:szCs w:val="22"/>
          </w:rPr>
          <w:t>feedback@ICCC.mfe.govt.nz</w:t>
        </w:r>
      </w:hyperlink>
      <w:r>
        <w:rPr>
          <w:rFonts w:ascii="Arial" w:hAnsi="Arial" w:cs="Arial"/>
          <w:sz w:val="22"/>
          <w:szCs w:val="22"/>
        </w:rPr>
        <w:t xml:space="preserve">. </w:t>
      </w:r>
      <w:r w:rsidRPr="009B2DA0">
        <w:rPr>
          <w:rStyle w:val="Hyperlink"/>
          <w:rFonts w:ascii="Arial" w:hAnsi="Arial" w:cs="Arial"/>
          <w:color w:val="auto"/>
          <w:sz w:val="22"/>
          <w:szCs w:val="22"/>
        </w:rPr>
        <w:t xml:space="preserve"> </w:t>
      </w:r>
    </w:p>
    <w:p w14:paraId="47FB9B9F" w14:textId="77777777" w:rsidR="002869DD" w:rsidRDefault="002869DD" w:rsidP="00D63806">
      <w:pPr>
        <w:pStyle w:val="BodyBullet"/>
        <w:spacing w:after="200" w:line="276" w:lineRule="auto"/>
        <w:rPr>
          <w:rFonts w:ascii="Arial" w:hAnsi="Arial" w:cs="Arial"/>
          <w:i/>
          <w:sz w:val="22"/>
          <w:szCs w:val="22"/>
        </w:rPr>
      </w:pPr>
    </w:p>
    <w:p w14:paraId="1A8E1029" w14:textId="77777777" w:rsidR="002869DD" w:rsidRPr="0090760B" w:rsidRDefault="002869DD" w:rsidP="00D63806">
      <w:pPr>
        <w:pStyle w:val="BodyBullet"/>
        <w:spacing w:after="200" w:line="276" w:lineRule="auto"/>
        <w:rPr>
          <w:rFonts w:ascii="Arial" w:hAnsi="Arial" w:cs="Arial"/>
          <w:b/>
          <w:bCs/>
          <w:i/>
          <w:sz w:val="22"/>
          <w:szCs w:val="22"/>
        </w:rPr>
      </w:pPr>
      <w:r w:rsidRPr="0090760B">
        <w:rPr>
          <w:rFonts w:ascii="Arial" w:hAnsi="Arial" w:cs="Arial"/>
          <w:b/>
          <w:bCs/>
          <w:i/>
          <w:sz w:val="22"/>
          <w:szCs w:val="22"/>
        </w:rPr>
        <w:t>References</w:t>
      </w:r>
    </w:p>
    <w:p w14:paraId="570EAFDD" w14:textId="77777777" w:rsidR="002869DD" w:rsidRPr="002869DD" w:rsidRDefault="002869DD" w:rsidP="002869DD">
      <w:pPr>
        <w:ind w:left="709" w:hanging="709"/>
        <w:rPr>
          <w:rFonts w:ascii="Helvetica" w:hAnsi="Helvetica" w:cs="Helvetica"/>
          <w:sz w:val="22"/>
          <w:szCs w:val="22"/>
          <w:lang w:val="en-NZ"/>
        </w:rPr>
      </w:pPr>
      <w:r w:rsidRPr="002869DD">
        <w:rPr>
          <w:rFonts w:ascii="Helvetica" w:hAnsi="Helvetica" w:cs="Helvetica"/>
        </w:rPr>
        <w:t xml:space="preserve">Bennett H, Jones R, Keating G, Woodward A, Hales S, Metcalfe S. Health and equity impacts of climate change in Aotearoa-New Zealand, and health gains from climate action. Migration. 2014;3:12-6. Available from: </w:t>
      </w:r>
      <w:hyperlink r:id="rId17" w:history="1">
        <w:r w:rsidRPr="002869DD">
          <w:rPr>
            <w:rStyle w:val="Hyperlink"/>
            <w:rFonts w:ascii="Helvetica" w:eastAsiaTheme="majorEastAsia" w:hAnsi="Helvetica" w:cs="Helvetica"/>
            <w:color w:val="auto"/>
          </w:rPr>
          <w:t>http://www.nzma.org.nz/journal/read-the-journal/all-issues/2010-2019/2014/vol-127-no-1406/6366</w:t>
        </w:r>
      </w:hyperlink>
    </w:p>
    <w:p w14:paraId="697D8940" w14:textId="77777777" w:rsidR="002869DD" w:rsidRPr="00C61327" w:rsidRDefault="002869DD" w:rsidP="00C61327">
      <w:pPr>
        <w:pStyle w:val="EndNoteBibliography"/>
        <w:ind w:left="720" w:hanging="720"/>
      </w:pPr>
      <w:r w:rsidRPr="00C61327">
        <w:t xml:space="preserve">Chapman, R. (2018). </w:t>
      </w:r>
      <w:r w:rsidRPr="00C61327">
        <w:rPr>
          <w:i/>
        </w:rPr>
        <w:t>Access and land use: a brief exploration: New Zealand Centre for Sustainable Cities Policy Paper</w:t>
      </w:r>
      <w:r w:rsidRPr="00C61327">
        <w:t xml:space="preserve">. Retrieved from Wellington: </w:t>
      </w:r>
      <w:r w:rsidRPr="002869DD">
        <w:rPr>
          <w:rFonts w:eastAsiaTheme="majorEastAsia"/>
        </w:rPr>
        <w:t>http://sustainablecities.org.nz/wp-content/uploads/Access-and-Land-use.pdf</w:t>
      </w:r>
    </w:p>
    <w:p w14:paraId="10073F89" w14:textId="77777777" w:rsidR="002869DD" w:rsidRPr="00C61327" w:rsidRDefault="002869DD" w:rsidP="00C61327">
      <w:pPr>
        <w:pStyle w:val="EndNoteBibliography"/>
        <w:ind w:left="720" w:hanging="720"/>
      </w:pPr>
      <w:r w:rsidRPr="00C61327">
        <w:t xml:space="preserve">Chapman, R., Howden-Chapman, P., O'Dea, D., Viggers, H., &amp; Kennedy, M. (2009). Retrofitting houses with insulation: cost-benefit analysis of a randomised community trial. </w:t>
      </w:r>
      <w:r w:rsidRPr="00C61327">
        <w:rPr>
          <w:i/>
        </w:rPr>
        <w:t>Journal of Epidemiology and Community Health, 63</w:t>
      </w:r>
      <w:r w:rsidRPr="00C61327">
        <w:t>, 271-277. doi:doi:10.1136/jech.2007.070037</w:t>
      </w:r>
    </w:p>
    <w:p w14:paraId="011D11BD" w14:textId="77777777" w:rsidR="002869DD" w:rsidRPr="00C61327" w:rsidRDefault="002869DD" w:rsidP="00C61327">
      <w:pPr>
        <w:pStyle w:val="EndNoteBibliography"/>
        <w:ind w:left="720" w:hanging="720"/>
      </w:pPr>
      <w:r w:rsidRPr="00C61327">
        <w:t xml:space="preserve">Chapman, R., Keall, M., Howden-Chapman, P., Grams, M., Witten, K., Randal, E., &amp; Woodward, A. (2018). A Cost Benefit Analysis of an Active Travel Intervention with Health and Carbon Emission Reduction Benefits. </w:t>
      </w:r>
      <w:r w:rsidRPr="00C61327">
        <w:rPr>
          <w:i/>
        </w:rPr>
        <w:t>International Journal of Environmental Research and Public Health</w:t>
      </w:r>
      <w:r w:rsidRPr="00C61327">
        <w:t xml:space="preserve">. doi:doi:10.3390/ijerph15050962 </w:t>
      </w:r>
    </w:p>
    <w:p w14:paraId="533E1E28" w14:textId="77777777" w:rsidR="002869DD" w:rsidRDefault="002869DD" w:rsidP="00C61327">
      <w:pPr>
        <w:pStyle w:val="EndNoteBibliography"/>
        <w:ind w:left="720" w:hanging="720"/>
      </w:pPr>
      <w:r w:rsidRPr="00C61327">
        <w:t>Electricity Low Fixed Charge Tariff Option for Domestic Consumers Regulations, Pub. L. No. (SR 2004/272 (2004 30 August 2004).</w:t>
      </w:r>
    </w:p>
    <w:p w14:paraId="1117BB9A" w14:textId="77777777" w:rsidR="002869DD" w:rsidRPr="002869DD" w:rsidRDefault="002869DD" w:rsidP="002869DD">
      <w:pPr>
        <w:ind w:left="851" w:hanging="851"/>
        <w:rPr>
          <w:rFonts w:ascii="Helvetica" w:hAnsi="Helvetica" w:cs="Helvetica"/>
          <w:color w:val="1F497D"/>
          <w:sz w:val="22"/>
          <w:szCs w:val="22"/>
          <w:lang w:val="en-NZ"/>
        </w:rPr>
      </w:pPr>
      <w:r w:rsidRPr="002869DD">
        <w:rPr>
          <w:rFonts w:ascii="Helvetica" w:hAnsi="Helvetica" w:cs="Helvetica"/>
        </w:rPr>
        <w:t xml:space="preserve">Haines A. Health co-benefits of climate action. The Lancet Planetary Health. 2017;1(1):e4-e5. Available from: </w:t>
      </w:r>
      <w:hyperlink r:id="rId18" w:history="1">
        <w:r w:rsidRPr="002869DD">
          <w:rPr>
            <w:rStyle w:val="Hyperlink"/>
            <w:rFonts w:ascii="Helvetica" w:eastAsiaTheme="majorEastAsia" w:hAnsi="Helvetica" w:cs="Helvetica"/>
            <w:color w:val="auto"/>
          </w:rPr>
          <w:t>https://www.thelancet.com/journals/lanplh/article/PIIS2542-5196(17)30003-7/fulltext</w:t>
        </w:r>
      </w:hyperlink>
      <w:r w:rsidRPr="002869DD">
        <w:rPr>
          <w:rFonts w:ascii="Helvetica" w:hAnsi="Helvetica" w:cs="Helvetica"/>
          <w:color w:val="1F497D"/>
        </w:rPr>
        <w:t xml:space="preserve"> </w:t>
      </w:r>
    </w:p>
    <w:p w14:paraId="5684C46E" w14:textId="77777777" w:rsidR="002869DD" w:rsidRDefault="002869DD" w:rsidP="00C61327">
      <w:pPr>
        <w:pStyle w:val="EndNoteBibliography"/>
        <w:ind w:left="720" w:hanging="720"/>
        <w:rPr>
          <w:rFonts w:eastAsiaTheme="majorEastAsia"/>
        </w:rPr>
      </w:pPr>
      <w:r w:rsidRPr="00C61327">
        <w:t xml:space="preserve">Hasan, M. A., &amp; Chapman, R. (2019). Climate explained: the environmental footprint of electric versus fossil cars. </w:t>
      </w:r>
      <w:r w:rsidRPr="00C61327">
        <w:rPr>
          <w:i/>
        </w:rPr>
        <w:t xml:space="preserve">The Conversation, </w:t>
      </w:r>
      <w:r w:rsidRPr="00C61327">
        <w:t xml:space="preserve">(15 October). Retrieved from </w:t>
      </w:r>
      <w:hyperlink r:id="rId19" w:history="1">
        <w:r w:rsidRPr="004E1C54">
          <w:rPr>
            <w:rStyle w:val="Hyperlink"/>
            <w:rFonts w:eastAsiaTheme="majorEastAsia"/>
          </w:rPr>
          <w:t>https://theconversation.com/climate-explained-the-environmental-footprint-of-electric-versus-fossil-cars-124762</w:t>
        </w:r>
      </w:hyperlink>
    </w:p>
    <w:p w14:paraId="3E70A6B9" w14:textId="77777777" w:rsidR="002869DD" w:rsidRPr="00C61327" w:rsidRDefault="002869DD" w:rsidP="002869DD">
      <w:pPr>
        <w:pStyle w:val="EndNoteBibliography"/>
        <w:ind w:left="720" w:hanging="720"/>
      </w:pPr>
      <w:r w:rsidRPr="00C61327">
        <w:t>Hollingsworth,</w:t>
      </w:r>
      <w:r>
        <w:t xml:space="preserve"> J. </w:t>
      </w:r>
      <w:r w:rsidRPr="00C61327">
        <w:t xml:space="preserve">Copeland, </w:t>
      </w:r>
      <w:r>
        <w:t xml:space="preserve">B. </w:t>
      </w:r>
      <w:r w:rsidRPr="00C61327">
        <w:t xml:space="preserve">&amp; Johnson, J. (2019). Are e-scooters polluters? The environmental impacts of shared dockless electric scooters. </w:t>
      </w:r>
      <w:r w:rsidRPr="00C61327">
        <w:rPr>
          <w:i/>
        </w:rPr>
        <w:t>Environmental Research Letters, 14 (2019)</w:t>
      </w:r>
      <w:r w:rsidRPr="00C61327">
        <w:t xml:space="preserve">(084031). Retrieved from </w:t>
      </w:r>
      <w:r w:rsidRPr="002869DD">
        <w:rPr>
          <w:rFonts w:eastAsiaTheme="majorEastAsia"/>
        </w:rPr>
        <w:t>https://doi.org/10.1088/1748-9326/ab2da8</w:t>
      </w:r>
    </w:p>
    <w:p w14:paraId="02B8DD3B" w14:textId="77777777" w:rsidR="002869DD" w:rsidRPr="00C61327" w:rsidRDefault="002869DD" w:rsidP="00C61327">
      <w:pPr>
        <w:pStyle w:val="EndNoteBibliography"/>
        <w:ind w:left="720" w:hanging="720"/>
      </w:pPr>
      <w:r w:rsidRPr="00C61327">
        <w:t xml:space="preserve">Howden-Chapman, P., Keall, M., Whitwell, K., &amp; Chapman, R. (2020). Evaluating natural experiments to measure the co-benefits of urban policy interventions to reduce carbon emissions in New Zealand. </w:t>
      </w:r>
      <w:r w:rsidRPr="00C61327">
        <w:rPr>
          <w:i/>
        </w:rPr>
        <w:t>Science of the Total Environment, 700</w:t>
      </w:r>
      <w:r w:rsidRPr="00C61327">
        <w:t xml:space="preserve">, 134408. Retrieved from </w:t>
      </w:r>
      <w:r w:rsidRPr="002869DD">
        <w:rPr>
          <w:rFonts w:eastAsiaTheme="majorEastAsia"/>
        </w:rPr>
        <w:t>https://www.sciencedirect.com/science/article/pii/S0048969719343992</w:t>
      </w:r>
    </w:p>
    <w:p w14:paraId="090BC1A1" w14:textId="77777777" w:rsidR="002869DD" w:rsidRPr="00C61327" w:rsidRDefault="002869DD" w:rsidP="00C61327">
      <w:pPr>
        <w:pStyle w:val="EndNoteBibliography"/>
        <w:ind w:left="720" w:hanging="720"/>
      </w:pPr>
      <w:r w:rsidRPr="00C61327">
        <w:t xml:space="preserve">Howden-Chapman, P., Matheson, A., Crane, J., Viggers, H., Cunningham, M., Blakely, T., . . . Davie, G. (2007). Effect of insulating existing houses on health inequality: cluster randomised study in the community. </w:t>
      </w:r>
      <w:r w:rsidRPr="00C61327">
        <w:rPr>
          <w:i/>
        </w:rPr>
        <w:t>British Medical Journal, 334</w:t>
      </w:r>
      <w:r w:rsidRPr="00C61327">
        <w:t>(7591), 460-464. doi:10.1136/bmj.39070.573032.80</w:t>
      </w:r>
    </w:p>
    <w:p w14:paraId="231002E0" w14:textId="77777777" w:rsidR="002869DD" w:rsidRPr="00C61327" w:rsidRDefault="002869DD" w:rsidP="00C61327">
      <w:pPr>
        <w:pStyle w:val="EndNoteBibliography"/>
        <w:ind w:left="720" w:hanging="720"/>
      </w:pPr>
      <w:r w:rsidRPr="00C61327">
        <w:t xml:space="preserve">Howden-Chapman, P., Pierse, N., Nicholls, S., Gillespie-Bennett, J., Viggers, H., Cunningham, M., . . . Crane, J. (2008). Effects of improved home heating on asthma in community dwelling children: randomised controlled trial. </w:t>
      </w:r>
      <w:r w:rsidRPr="00C61327">
        <w:rPr>
          <w:i/>
        </w:rPr>
        <w:t>British Medical Journal, 337</w:t>
      </w:r>
      <w:r w:rsidRPr="00C61327">
        <w:t>(7674). doi:10.1136/bmj.a1411</w:t>
      </w:r>
    </w:p>
    <w:p w14:paraId="384B1D7D" w14:textId="77777777" w:rsidR="002869DD" w:rsidRDefault="002869DD" w:rsidP="00C61327">
      <w:pPr>
        <w:pStyle w:val="EndNoteBibliography"/>
        <w:ind w:left="720" w:hanging="720"/>
      </w:pPr>
      <w:r w:rsidRPr="00C61327">
        <w:t xml:space="preserve">Isaacs, N., Camilleri, M., Burrough, L., Pollard, A., Saville-Smith, K., Fraser, R., . . . Jowett, J. (2010). </w:t>
      </w:r>
      <w:r w:rsidRPr="00C61327">
        <w:rPr>
          <w:i/>
        </w:rPr>
        <w:t>Energy Use in New Zealand Households: Final Report on the Household Energy End-use Project (HEEP)</w:t>
      </w:r>
      <w:r w:rsidRPr="00C61327">
        <w:t xml:space="preserve">. Retrieved from </w:t>
      </w:r>
    </w:p>
    <w:p w14:paraId="34B71200" w14:textId="77777777" w:rsidR="002869DD" w:rsidRPr="002869DD" w:rsidRDefault="002869DD" w:rsidP="00C61327">
      <w:pPr>
        <w:pStyle w:val="EndNoteBibliography"/>
        <w:ind w:left="720" w:hanging="720"/>
      </w:pPr>
      <w:r w:rsidRPr="002869DD">
        <w:rPr>
          <w:rFonts w:eastAsiaTheme="minorHAnsi"/>
          <w:lang w:val="en-NZ"/>
        </w:rPr>
        <w:t xml:space="preserve">Janson, C., R. Henderson, M. Lofdahl, M. Hedberg, R. Sharma and A. J. K. Wilkinson (2019). "Carbon footprint impact of the choice of inhalers for asthma and COPD." </w:t>
      </w:r>
      <w:r w:rsidRPr="002869DD">
        <w:rPr>
          <w:rFonts w:eastAsiaTheme="minorHAnsi"/>
          <w:u w:val="single"/>
          <w:lang w:val="en-NZ"/>
        </w:rPr>
        <w:t>Thorax</w:t>
      </w:r>
      <w:r w:rsidRPr="002869DD">
        <w:rPr>
          <w:rFonts w:eastAsiaTheme="minorHAnsi"/>
          <w:lang w:val="en-NZ"/>
        </w:rPr>
        <w:t>.</w:t>
      </w:r>
    </w:p>
    <w:p w14:paraId="6E3A5407" w14:textId="77777777" w:rsidR="002869DD" w:rsidRPr="00C61327" w:rsidRDefault="002869DD" w:rsidP="00C61327">
      <w:pPr>
        <w:pStyle w:val="EndNoteBibliography"/>
        <w:ind w:left="720" w:hanging="720"/>
      </w:pPr>
      <w:r w:rsidRPr="00C61327">
        <w:t xml:space="preserve">Lee, S., &amp; Lee, B. (2014). The influence of urban form on GHG emissions in the  U.S. household sector. </w:t>
      </w:r>
      <w:r w:rsidRPr="00C61327">
        <w:rPr>
          <w:i/>
        </w:rPr>
        <w:t>Energy Policy</w:t>
      </w:r>
      <w:r w:rsidRPr="00C61327">
        <w:t xml:space="preserve">, 534-549. Retrieved from </w:t>
      </w:r>
      <w:r w:rsidRPr="002869DD">
        <w:rPr>
          <w:rFonts w:eastAsiaTheme="majorEastAsia"/>
        </w:rPr>
        <w:t>http://dx.doi.org/10.1016/j.enpol.2014.01.024</w:t>
      </w:r>
    </w:p>
    <w:p w14:paraId="4EB67C11" w14:textId="77777777" w:rsidR="002869DD" w:rsidRDefault="002869DD" w:rsidP="00C61327">
      <w:pPr>
        <w:pStyle w:val="EndNoteBibliography"/>
        <w:ind w:left="720" w:hanging="720"/>
      </w:pPr>
      <w:r w:rsidRPr="00C61327">
        <w:lastRenderedPageBreak/>
        <w:t xml:space="preserve">Lloyd, C. R., Callau, M. F., Bishop, T., &amp; Smith, I. J. (2008). The efficacy of an energy efficient upgrade program in New Zealand. </w:t>
      </w:r>
      <w:r w:rsidRPr="00C61327">
        <w:rPr>
          <w:i/>
        </w:rPr>
        <w:t>Energy and Buildings, 40</w:t>
      </w:r>
      <w:r w:rsidRPr="00C61327">
        <w:t>(7), 1228-1239. doi:10.1016/j.enbuild.2007.11.006</w:t>
      </w:r>
    </w:p>
    <w:p w14:paraId="49C264D4" w14:textId="77777777" w:rsidR="002869DD" w:rsidRPr="002869DD" w:rsidRDefault="002869DD" w:rsidP="00C61327">
      <w:pPr>
        <w:pStyle w:val="EndNoteBibliography"/>
        <w:ind w:left="720" w:hanging="720"/>
      </w:pPr>
      <w:r w:rsidRPr="002869DD">
        <w:rPr>
          <w:rFonts w:eastAsiaTheme="minorHAnsi"/>
          <w:lang w:val="en-NZ"/>
        </w:rPr>
        <w:t xml:space="preserve">Malik, A., M. Lenzen, S. McAlister and F. McGain (2018). "The carbon footprint of Australian health care." </w:t>
      </w:r>
      <w:r w:rsidRPr="002869DD">
        <w:rPr>
          <w:rFonts w:eastAsiaTheme="minorHAnsi"/>
          <w:u w:val="single"/>
          <w:lang w:val="en-NZ"/>
        </w:rPr>
        <w:t>The Lancet Planetary Health</w:t>
      </w:r>
      <w:r w:rsidRPr="002869DD">
        <w:rPr>
          <w:rFonts w:eastAsiaTheme="minorHAnsi"/>
          <w:lang w:val="en-NZ"/>
        </w:rPr>
        <w:t xml:space="preserve"> </w:t>
      </w:r>
      <w:r w:rsidRPr="002869DD">
        <w:rPr>
          <w:rFonts w:eastAsiaTheme="minorHAnsi"/>
          <w:b/>
          <w:bCs/>
          <w:lang w:val="en-NZ"/>
        </w:rPr>
        <w:t>2</w:t>
      </w:r>
      <w:r w:rsidRPr="002869DD">
        <w:rPr>
          <w:rFonts w:eastAsiaTheme="minorHAnsi"/>
          <w:lang w:val="en-NZ"/>
        </w:rPr>
        <w:t>(1): e27-e35.</w:t>
      </w:r>
    </w:p>
    <w:p w14:paraId="41A2EBE3" w14:textId="77777777" w:rsidR="002869DD" w:rsidRPr="00C61327" w:rsidRDefault="002869DD" w:rsidP="00C61327">
      <w:pPr>
        <w:pStyle w:val="EndNoteBibliography"/>
        <w:ind w:left="720" w:hanging="720"/>
      </w:pPr>
      <w:r w:rsidRPr="00C61327">
        <w:t xml:space="preserve">MoT. (2019). </w:t>
      </w:r>
      <w:r w:rsidRPr="00C61327">
        <w:rPr>
          <w:i/>
        </w:rPr>
        <w:t>Moving the light vehicle fleet to low-emissions: discussion paper on a Clean Car Standard and Clean Car Discount</w:t>
      </w:r>
      <w:r w:rsidRPr="00C61327">
        <w:t xml:space="preserve">. Retrieved from Wellington: </w:t>
      </w:r>
      <w:r w:rsidRPr="002869DD">
        <w:rPr>
          <w:rFonts w:eastAsiaTheme="majorEastAsia"/>
        </w:rPr>
        <w:t>https://transport.cwp.govt.nz/clean-cars/</w:t>
      </w:r>
      <w:r w:rsidRPr="00C61327">
        <w:t>.</w:t>
      </w:r>
    </w:p>
    <w:p w14:paraId="22403943" w14:textId="77777777" w:rsidR="002869DD" w:rsidRPr="00C61327" w:rsidRDefault="002869DD" w:rsidP="00C61327">
      <w:pPr>
        <w:pStyle w:val="EndNoteBibliography"/>
        <w:ind w:left="720" w:hanging="720"/>
      </w:pPr>
      <w:r w:rsidRPr="00C61327">
        <w:t xml:space="preserve">New Zealand Government. (2019). </w:t>
      </w:r>
      <w:r w:rsidRPr="00C61327">
        <w:rPr>
          <w:i/>
        </w:rPr>
        <w:t>Electricity Price Review Final Report</w:t>
      </w:r>
      <w:r w:rsidRPr="00C61327">
        <w:t xml:space="preserve">. Retrieved from New Zealand </w:t>
      </w:r>
      <w:r w:rsidRPr="002869DD">
        <w:rPr>
          <w:rFonts w:eastAsiaTheme="majorEastAsia"/>
        </w:rPr>
        <w:t>https://www.mbie.govt.nz/assets/electricity-price-review-final-report.pdf</w:t>
      </w:r>
    </w:p>
    <w:p w14:paraId="14E171FF" w14:textId="77777777" w:rsidR="002869DD" w:rsidRPr="00C61327" w:rsidRDefault="002869DD" w:rsidP="00C61327">
      <w:pPr>
        <w:pStyle w:val="EndNoteBibliography"/>
        <w:ind w:left="720" w:hanging="720"/>
      </w:pPr>
      <w:r w:rsidRPr="00C61327">
        <w:t xml:space="preserve">Ricke, K., Drouet, L., Caldeira, K., &amp; Tavoni, M. (2018). Country-level social cost of carbon. </w:t>
      </w:r>
      <w:r w:rsidRPr="00C61327">
        <w:rPr>
          <w:i/>
        </w:rPr>
        <w:t>Nature Climate Change</w:t>
      </w:r>
      <w:r w:rsidRPr="00C61327">
        <w:t xml:space="preserve">. Retrieved from </w:t>
      </w:r>
      <w:r w:rsidRPr="002869DD">
        <w:rPr>
          <w:rFonts w:eastAsiaTheme="majorEastAsia"/>
        </w:rPr>
        <w:t>https://www.nature.com/articles/s41558-018-0282-y.pdf</w:t>
      </w:r>
    </w:p>
    <w:p w14:paraId="27DEEF06" w14:textId="77777777" w:rsidR="002869DD" w:rsidRPr="00C61327" w:rsidRDefault="002869DD" w:rsidP="00C61327">
      <w:pPr>
        <w:pStyle w:val="EndNoteBibliography"/>
        <w:ind w:left="720" w:hanging="720"/>
      </w:pPr>
      <w:r w:rsidRPr="00C61327">
        <w:t>Standards New Zealand. (2009). NZS4218:2009 Thermal Insulation - Housing and Small Buildings In (Vol. NZS 4218:2009): Standards New Zealand,.</w:t>
      </w:r>
    </w:p>
    <w:p w14:paraId="2E84732D" w14:textId="77777777" w:rsidR="002869DD" w:rsidRPr="00C61327" w:rsidRDefault="002869DD" w:rsidP="00C61327">
      <w:pPr>
        <w:pStyle w:val="EndNoteBibliography"/>
        <w:ind w:left="720" w:hanging="720"/>
      </w:pPr>
      <w:r w:rsidRPr="00C61327">
        <w:t xml:space="preserve">World Health Organization. (2018). </w:t>
      </w:r>
      <w:r w:rsidRPr="00C61327">
        <w:rPr>
          <w:i/>
        </w:rPr>
        <w:t>WHO Housing and Health Guidelines</w:t>
      </w:r>
      <w:r w:rsidRPr="00C61327">
        <w:t>. Geneva: World Health Organisation.</w:t>
      </w:r>
    </w:p>
    <w:p w14:paraId="2A434F74" w14:textId="77777777" w:rsidR="002869DD" w:rsidRPr="00D63806" w:rsidRDefault="002869DD" w:rsidP="00D63806">
      <w:pPr>
        <w:pStyle w:val="BodyBullet"/>
        <w:spacing w:after="200" w:line="276" w:lineRule="auto"/>
        <w:rPr>
          <w:rFonts w:ascii="Arial" w:hAnsi="Arial" w:cs="Arial"/>
          <w:i/>
          <w:sz w:val="22"/>
          <w:szCs w:val="22"/>
        </w:rPr>
      </w:pPr>
    </w:p>
    <w:p w14:paraId="734BE144" w14:textId="77777777" w:rsidR="00835489" w:rsidRDefault="00835489"/>
    <w:sectPr w:rsidR="0083548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423428" w14:textId="77777777" w:rsidR="00DA11F5" w:rsidRDefault="00DA11F5" w:rsidP="002869DD">
      <w:r>
        <w:separator/>
      </w:r>
    </w:p>
  </w:endnote>
  <w:endnote w:type="continuationSeparator" w:id="0">
    <w:p w14:paraId="7D2B9121" w14:textId="77777777" w:rsidR="00DA11F5" w:rsidRDefault="00DA11F5" w:rsidP="00286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846270"/>
      <w:docPartObj>
        <w:docPartGallery w:val="Page Numbers (Bottom of Page)"/>
        <w:docPartUnique/>
      </w:docPartObj>
    </w:sdtPr>
    <w:sdtEndPr>
      <w:rPr>
        <w:noProof/>
      </w:rPr>
    </w:sdtEndPr>
    <w:sdtContent>
      <w:p w14:paraId="0D0ECA8B" w14:textId="77777777" w:rsidR="00E55247" w:rsidRDefault="00767CD3">
        <w:pPr>
          <w:pStyle w:val="Footer"/>
          <w:jc w:val="right"/>
        </w:pPr>
        <w:r>
          <w:fldChar w:fldCharType="begin"/>
        </w:r>
        <w:r>
          <w:instrText xml:space="preserve"> PAGE   \* MERGEFORMAT </w:instrText>
        </w:r>
        <w:r>
          <w:fldChar w:fldCharType="separate"/>
        </w:r>
        <w:r w:rsidR="00B119A8">
          <w:rPr>
            <w:noProof/>
          </w:rPr>
          <w:t>3</w:t>
        </w:r>
        <w:r>
          <w:rPr>
            <w:noProof/>
          </w:rPr>
          <w:fldChar w:fldCharType="end"/>
        </w:r>
      </w:p>
    </w:sdtContent>
  </w:sdt>
  <w:p w14:paraId="0B7CF2BE" w14:textId="77777777" w:rsidR="00E55247" w:rsidRDefault="00DA11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831755" w14:textId="77777777" w:rsidR="00DA11F5" w:rsidRDefault="00DA11F5" w:rsidP="002869DD">
      <w:r>
        <w:separator/>
      </w:r>
    </w:p>
  </w:footnote>
  <w:footnote w:type="continuationSeparator" w:id="0">
    <w:p w14:paraId="37D9C5F3" w14:textId="77777777" w:rsidR="00DA11F5" w:rsidRDefault="00DA11F5" w:rsidP="002869DD">
      <w:r>
        <w:continuationSeparator/>
      </w:r>
    </w:p>
  </w:footnote>
  <w:footnote w:id="1">
    <w:p w14:paraId="2C83FD30" w14:textId="77777777" w:rsidR="002869DD" w:rsidRPr="00DC7930" w:rsidRDefault="002869DD" w:rsidP="00DC7930">
      <w:pPr>
        <w:pStyle w:val="Default"/>
        <w:rPr>
          <w:rFonts w:asciiTheme="minorHAnsi" w:hAnsiTheme="minorHAnsi" w:cstheme="minorHAnsi"/>
          <w:sz w:val="20"/>
          <w:szCs w:val="20"/>
        </w:rPr>
      </w:pPr>
      <w:r w:rsidRPr="00DC7930">
        <w:rPr>
          <w:rStyle w:val="FootnoteReference"/>
          <w:sz w:val="22"/>
          <w:szCs w:val="22"/>
        </w:rPr>
        <w:footnoteRef/>
      </w:r>
      <w:r>
        <w:t xml:space="preserve"> </w:t>
      </w:r>
      <w:r w:rsidRPr="00DC7930">
        <w:rPr>
          <w:rFonts w:asciiTheme="minorHAnsi" w:hAnsiTheme="minorHAnsi" w:cstheme="minorHAnsi"/>
          <w:sz w:val="20"/>
          <w:szCs w:val="20"/>
        </w:rPr>
        <w:t xml:space="preserve">Associate Professor, School of Geography, Environment and Earth Sciences, Victoria University of Wellington </w:t>
      </w:r>
      <w:r w:rsidRPr="00DC7930">
        <w:rPr>
          <w:rFonts w:asciiTheme="minorHAnsi" w:hAnsiTheme="minorHAnsi" w:cstheme="minorHAnsi"/>
        </w:rPr>
        <w:t xml:space="preserve"> </w:t>
      </w:r>
    </w:p>
  </w:footnote>
  <w:footnote w:id="2">
    <w:p w14:paraId="5E94F027" w14:textId="77777777" w:rsidR="002869DD" w:rsidRPr="00DC7930" w:rsidRDefault="002869DD">
      <w:pPr>
        <w:pStyle w:val="FootnoteText"/>
        <w:rPr>
          <w:lang w:val="en-NZ"/>
        </w:rPr>
      </w:pPr>
      <w:r>
        <w:rPr>
          <w:rStyle w:val="FootnoteReference"/>
        </w:rPr>
        <w:footnoteRef/>
      </w:r>
      <w:r>
        <w:t xml:space="preserve"> </w:t>
      </w:r>
      <w:r w:rsidRPr="00DC7930">
        <w:rPr>
          <w:rFonts w:asciiTheme="minorHAnsi" w:hAnsiTheme="minorHAnsi" w:cstheme="minorHAnsi"/>
        </w:rPr>
        <w:t>Department of Public Health, University of Ota</w:t>
      </w:r>
      <w:r>
        <w:rPr>
          <w:rFonts w:asciiTheme="minorHAnsi" w:hAnsiTheme="minorHAnsi" w:cstheme="minorHAnsi"/>
        </w:rPr>
        <w:t xml:space="preserve">go, Wellington; </w:t>
      </w:r>
      <w:r w:rsidRPr="00DC7930">
        <w:rPr>
          <w:rFonts w:asciiTheme="minorHAnsi" w:hAnsiTheme="minorHAnsi" w:cstheme="minorHAnsi"/>
        </w:rPr>
        <w:t>.</w:t>
      </w:r>
    </w:p>
  </w:footnote>
  <w:footnote w:id="3">
    <w:p w14:paraId="12CE0095" w14:textId="77777777" w:rsidR="002869DD" w:rsidRPr="00DC7930" w:rsidRDefault="002869DD" w:rsidP="00336286">
      <w:pPr>
        <w:pStyle w:val="FootnoteText"/>
        <w:rPr>
          <w:lang w:val="en-NZ"/>
        </w:rPr>
      </w:pPr>
      <w:r w:rsidRPr="00DC7930">
        <w:rPr>
          <w:rStyle w:val="FootnoteReference"/>
          <w:rFonts w:asciiTheme="minorHAnsi" w:hAnsiTheme="minorHAnsi" w:cstheme="minorHAnsi"/>
        </w:rPr>
        <w:footnoteRef/>
      </w:r>
      <w:r w:rsidRPr="00DC7930">
        <w:rPr>
          <w:rFonts w:asciiTheme="minorHAnsi" w:hAnsiTheme="minorHAnsi" w:cstheme="minorHAnsi"/>
        </w:rPr>
        <w:t xml:space="preserve"> Professor, Department of Public Health, University of Otago, Wellington; Director of the NZ Centre for Sustainable Cities.</w:t>
      </w:r>
    </w:p>
  </w:footnote>
  <w:footnote w:id="4">
    <w:p w14:paraId="03F903A3" w14:textId="77777777" w:rsidR="002869DD" w:rsidRPr="00FA3676" w:rsidRDefault="002869DD" w:rsidP="003D292B">
      <w:pPr>
        <w:pStyle w:val="FootnoteText"/>
        <w:rPr>
          <w:lang w:val="en-NZ"/>
        </w:rPr>
      </w:pPr>
      <w:r>
        <w:rPr>
          <w:rStyle w:val="FootnoteReference"/>
        </w:rPr>
        <w:footnoteRef/>
      </w:r>
      <w:r>
        <w:t xml:space="preserve"> </w:t>
      </w:r>
      <w:r w:rsidRPr="00DC7930">
        <w:rPr>
          <w:rFonts w:asciiTheme="minorHAnsi" w:hAnsiTheme="minorHAnsi" w:cstheme="minorHAnsi"/>
          <w:lang w:val="en-NZ"/>
        </w:rPr>
        <w:t xml:space="preserve">Climate Change Response (Zero Carbon) Amendment Bill: </w:t>
      </w:r>
      <w:hyperlink r:id="rId1" w:history="1">
        <w:r w:rsidRPr="00DC7930">
          <w:rPr>
            <w:rStyle w:val="Hyperlink"/>
            <w:rFonts w:asciiTheme="minorHAnsi" w:eastAsiaTheme="majorEastAsia" w:hAnsiTheme="minorHAnsi" w:cstheme="minorHAnsi"/>
          </w:rPr>
          <w:t>http://www.legislation.govt.nz/bill/government/2019/0136/latest/LMS183736.html</w:t>
        </w:r>
      </w:hyperlink>
      <w:r w:rsidRPr="00DC7930">
        <w:rPr>
          <w:rStyle w:val="Hyperlink"/>
          <w:rFonts w:asciiTheme="minorHAnsi" w:eastAsiaTheme="majorEastAsia" w:hAnsiTheme="minorHAnsi" w:cstheme="minorHAnsi"/>
        </w:rPr>
        <w:t>.</w:t>
      </w:r>
      <w:r>
        <w:rPr>
          <w:rStyle w:val="Hyperlink"/>
          <w:rFonts w:ascii="Arial" w:eastAsiaTheme="majorEastAsia" w:hAnsi="Arial" w:cs="Arial"/>
        </w:rPr>
        <w:t xml:space="preserve">  </w:t>
      </w:r>
    </w:p>
  </w:footnote>
  <w:footnote w:id="5">
    <w:p w14:paraId="030D3DD7" w14:textId="77777777" w:rsidR="002869DD" w:rsidRPr="001052DE" w:rsidRDefault="002869DD">
      <w:pPr>
        <w:pStyle w:val="FootnoteText"/>
        <w:rPr>
          <w:lang w:val="en-NZ"/>
        </w:rPr>
      </w:pPr>
      <w:r>
        <w:rPr>
          <w:rStyle w:val="FootnoteReference"/>
        </w:rPr>
        <w:footnoteRef/>
      </w:r>
      <w:r>
        <w:t xml:space="preserve"> </w:t>
      </w:r>
      <w:r>
        <w:rPr>
          <w:rFonts w:ascii="Segoe UI" w:eastAsiaTheme="minorHAnsi" w:hAnsi="Segoe UI" w:cs="Segoe UI"/>
          <w:sz w:val="18"/>
          <w:szCs w:val="18"/>
          <w:lang w:val="en-NZ"/>
        </w:rPr>
        <w:t xml:space="preserve">Shaw, C., et al. (2018): </w:t>
      </w:r>
      <w:hyperlink r:id="rId2" w:history="1">
        <w:r w:rsidRPr="001052DE">
          <w:rPr>
            <w:rStyle w:val="Hyperlink"/>
            <w:rFonts w:ascii="Segoe UI" w:eastAsiaTheme="minorHAnsi" w:hAnsi="Segoe UI" w:cs="Segoe UI"/>
            <w:sz w:val="18"/>
            <w:szCs w:val="18"/>
            <w:lang w:val="en-NZ"/>
          </w:rPr>
          <w:t>http://sustainablecities.org.nz/wp-content/uploads/Shaw...Chapman...-et-al-Apr18-NZCSC-Submission-on-Draft-GPS-2018.pdf</w:t>
        </w:r>
      </w:hyperlink>
      <w:r>
        <w:rPr>
          <w:rFonts w:ascii="Segoe UI" w:eastAsiaTheme="minorHAnsi" w:hAnsi="Segoe UI" w:cs="Segoe UI"/>
          <w:sz w:val="18"/>
          <w:szCs w:val="18"/>
          <w:lang w:val="en-NZ"/>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E379D"/>
    <w:multiLevelType w:val="hybridMultilevel"/>
    <w:tmpl w:val="2C8EC00A"/>
    <w:lvl w:ilvl="0" w:tplc="14090001">
      <w:start w:val="1"/>
      <w:numFmt w:val="bullet"/>
      <w:lvlText w:val=""/>
      <w:lvlJc w:val="left"/>
      <w:pPr>
        <w:ind w:left="1238" w:hanging="360"/>
      </w:pPr>
      <w:rPr>
        <w:rFonts w:ascii="Symbol" w:hAnsi="Symbol" w:hint="default"/>
      </w:rPr>
    </w:lvl>
    <w:lvl w:ilvl="1" w:tplc="14090003" w:tentative="1">
      <w:start w:val="1"/>
      <w:numFmt w:val="bullet"/>
      <w:lvlText w:val="o"/>
      <w:lvlJc w:val="left"/>
      <w:pPr>
        <w:ind w:left="1958" w:hanging="360"/>
      </w:pPr>
      <w:rPr>
        <w:rFonts w:ascii="Courier New" w:hAnsi="Courier New" w:cs="Courier New" w:hint="default"/>
      </w:rPr>
    </w:lvl>
    <w:lvl w:ilvl="2" w:tplc="14090005" w:tentative="1">
      <w:start w:val="1"/>
      <w:numFmt w:val="bullet"/>
      <w:lvlText w:val=""/>
      <w:lvlJc w:val="left"/>
      <w:pPr>
        <w:ind w:left="2678" w:hanging="360"/>
      </w:pPr>
      <w:rPr>
        <w:rFonts w:ascii="Wingdings" w:hAnsi="Wingdings" w:hint="default"/>
      </w:rPr>
    </w:lvl>
    <w:lvl w:ilvl="3" w:tplc="14090001" w:tentative="1">
      <w:start w:val="1"/>
      <w:numFmt w:val="bullet"/>
      <w:lvlText w:val=""/>
      <w:lvlJc w:val="left"/>
      <w:pPr>
        <w:ind w:left="3398" w:hanging="360"/>
      </w:pPr>
      <w:rPr>
        <w:rFonts w:ascii="Symbol" w:hAnsi="Symbol" w:hint="default"/>
      </w:rPr>
    </w:lvl>
    <w:lvl w:ilvl="4" w:tplc="14090003" w:tentative="1">
      <w:start w:val="1"/>
      <w:numFmt w:val="bullet"/>
      <w:lvlText w:val="o"/>
      <w:lvlJc w:val="left"/>
      <w:pPr>
        <w:ind w:left="4118" w:hanging="360"/>
      </w:pPr>
      <w:rPr>
        <w:rFonts w:ascii="Courier New" w:hAnsi="Courier New" w:cs="Courier New" w:hint="default"/>
      </w:rPr>
    </w:lvl>
    <w:lvl w:ilvl="5" w:tplc="14090005" w:tentative="1">
      <w:start w:val="1"/>
      <w:numFmt w:val="bullet"/>
      <w:lvlText w:val=""/>
      <w:lvlJc w:val="left"/>
      <w:pPr>
        <w:ind w:left="4838" w:hanging="360"/>
      </w:pPr>
      <w:rPr>
        <w:rFonts w:ascii="Wingdings" w:hAnsi="Wingdings" w:hint="default"/>
      </w:rPr>
    </w:lvl>
    <w:lvl w:ilvl="6" w:tplc="14090001" w:tentative="1">
      <w:start w:val="1"/>
      <w:numFmt w:val="bullet"/>
      <w:lvlText w:val=""/>
      <w:lvlJc w:val="left"/>
      <w:pPr>
        <w:ind w:left="5558" w:hanging="360"/>
      </w:pPr>
      <w:rPr>
        <w:rFonts w:ascii="Symbol" w:hAnsi="Symbol" w:hint="default"/>
      </w:rPr>
    </w:lvl>
    <w:lvl w:ilvl="7" w:tplc="14090003" w:tentative="1">
      <w:start w:val="1"/>
      <w:numFmt w:val="bullet"/>
      <w:lvlText w:val="o"/>
      <w:lvlJc w:val="left"/>
      <w:pPr>
        <w:ind w:left="6278" w:hanging="360"/>
      </w:pPr>
      <w:rPr>
        <w:rFonts w:ascii="Courier New" w:hAnsi="Courier New" w:cs="Courier New" w:hint="default"/>
      </w:rPr>
    </w:lvl>
    <w:lvl w:ilvl="8" w:tplc="14090005" w:tentative="1">
      <w:start w:val="1"/>
      <w:numFmt w:val="bullet"/>
      <w:lvlText w:val=""/>
      <w:lvlJc w:val="left"/>
      <w:pPr>
        <w:ind w:left="6998" w:hanging="360"/>
      </w:pPr>
      <w:rPr>
        <w:rFonts w:ascii="Wingdings" w:hAnsi="Wingdings" w:hint="default"/>
      </w:rPr>
    </w:lvl>
  </w:abstractNum>
  <w:abstractNum w:abstractNumId="1" w15:restartNumberingAfterBreak="0">
    <w:nsid w:val="030805B4"/>
    <w:multiLevelType w:val="hybridMultilevel"/>
    <w:tmpl w:val="E6447960"/>
    <w:lvl w:ilvl="0" w:tplc="14090001">
      <w:start w:val="1"/>
      <w:numFmt w:val="bullet"/>
      <w:lvlText w:val=""/>
      <w:lvlJc w:val="left"/>
      <w:pPr>
        <w:ind w:left="5448" w:hanging="360"/>
      </w:pPr>
      <w:rPr>
        <w:rFonts w:ascii="Symbol" w:hAnsi="Symbol" w:hint="default"/>
      </w:rPr>
    </w:lvl>
    <w:lvl w:ilvl="1" w:tplc="14090003" w:tentative="1">
      <w:start w:val="1"/>
      <w:numFmt w:val="bullet"/>
      <w:lvlText w:val="o"/>
      <w:lvlJc w:val="left"/>
      <w:pPr>
        <w:ind w:left="6168" w:hanging="360"/>
      </w:pPr>
      <w:rPr>
        <w:rFonts w:ascii="Courier New" w:hAnsi="Courier New" w:cs="Courier New" w:hint="default"/>
      </w:rPr>
    </w:lvl>
    <w:lvl w:ilvl="2" w:tplc="14090005" w:tentative="1">
      <w:start w:val="1"/>
      <w:numFmt w:val="bullet"/>
      <w:lvlText w:val=""/>
      <w:lvlJc w:val="left"/>
      <w:pPr>
        <w:ind w:left="6888" w:hanging="360"/>
      </w:pPr>
      <w:rPr>
        <w:rFonts w:ascii="Wingdings" w:hAnsi="Wingdings" w:hint="default"/>
      </w:rPr>
    </w:lvl>
    <w:lvl w:ilvl="3" w:tplc="14090001" w:tentative="1">
      <w:start w:val="1"/>
      <w:numFmt w:val="bullet"/>
      <w:lvlText w:val=""/>
      <w:lvlJc w:val="left"/>
      <w:pPr>
        <w:ind w:left="7608" w:hanging="360"/>
      </w:pPr>
      <w:rPr>
        <w:rFonts w:ascii="Symbol" w:hAnsi="Symbol" w:hint="default"/>
      </w:rPr>
    </w:lvl>
    <w:lvl w:ilvl="4" w:tplc="14090003" w:tentative="1">
      <w:start w:val="1"/>
      <w:numFmt w:val="bullet"/>
      <w:lvlText w:val="o"/>
      <w:lvlJc w:val="left"/>
      <w:pPr>
        <w:ind w:left="8328" w:hanging="360"/>
      </w:pPr>
      <w:rPr>
        <w:rFonts w:ascii="Courier New" w:hAnsi="Courier New" w:cs="Courier New" w:hint="default"/>
      </w:rPr>
    </w:lvl>
    <w:lvl w:ilvl="5" w:tplc="14090005" w:tentative="1">
      <w:start w:val="1"/>
      <w:numFmt w:val="bullet"/>
      <w:lvlText w:val=""/>
      <w:lvlJc w:val="left"/>
      <w:pPr>
        <w:ind w:left="9048" w:hanging="360"/>
      </w:pPr>
      <w:rPr>
        <w:rFonts w:ascii="Wingdings" w:hAnsi="Wingdings" w:hint="default"/>
      </w:rPr>
    </w:lvl>
    <w:lvl w:ilvl="6" w:tplc="14090001" w:tentative="1">
      <w:start w:val="1"/>
      <w:numFmt w:val="bullet"/>
      <w:lvlText w:val=""/>
      <w:lvlJc w:val="left"/>
      <w:pPr>
        <w:ind w:left="9768" w:hanging="360"/>
      </w:pPr>
      <w:rPr>
        <w:rFonts w:ascii="Symbol" w:hAnsi="Symbol" w:hint="default"/>
      </w:rPr>
    </w:lvl>
    <w:lvl w:ilvl="7" w:tplc="14090003" w:tentative="1">
      <w:start w:val="1"/>
      <w:numFmt w:val="bullet"/>
      <w:lvlText w:val="o"/>
      <w:lvlJc w:val="left"/>
      <w:pPr>
        <w:ind w:left="10488" w:hanging="360"/>
      </w:pPr>
      <w:rPr>
        <w:rFonts w:ascii="Courier New" w:hAnsi="Courier New" w:cs="Courier New" w:hint="default"/>
      </w:rPr>
    </w:lvl>
    <w:lvl w:ilvl="8" w:tplc="14090005" w:tentative="1">
      <w:start w:val="1"/>
      <w:numFmt w:val="bullet"/>
      <w:lvlText w:val=""/>
      <w:lvlJc w:val="left"/>
      <w:pPr>
        <w:ind w:left="11208" w:hanging="360"/>
      </w:pPr>
      <w:rPr>
        <w:rFonts w:ascii="Wingdings" w:hAnsi="Wingdings" w:hint="default"/>
      </w:rPr>
    </w:lvl>
  </w:abstractNum>
  <w:abstractNum w:abstractNumId="2" w15:restartNumberingAfterBreak="0">
    <w:nsid w:val="05C17C04"/>
    <w:multiLevelType w:val="hybridMultilevel"/>
    <w:tmpl w:val="14AC78AA"/>
    <w:lvl w:ilvl="0" w:tplc="14090001">
      <w:start w:val="1"/>
      <w:numFmt w:val="bullet"/>
      <w:lvlText w:val=""/>
      <w:lvlJc w:val="left"/>
      <w:pPr>
        <w:ind w:left="840" w:hanging="360"/>
      </w:pPr>
      <w:rPr>
        <w:rFonts w:ascii="Symbol" w:hAnsi="Symbol" w:hint="default"/>
      </w:rPr>
    </w:lvl>
    <w:lvl w:ilvl="1" w:tplc="14090003" w:tentative="1">
      <w:start w:val="1"/>
      <w:numFmt w:val="bullet"/>
      <w:lvlText w:val="o"/>
      <w:lvlJc w:val="left"/>
      <w:pPr>
        <w:ind w:left="1560" w:hanging="360"/>
      </w:pPr>
      <w:rPr>
        <w:rFonts w:ascii="Courier New" w:hAnsi="Courier New" w:cs="Courier New" w:hint="default"/>
      </w:rPr>
    </w:lvl>
    <w:lvl w:ilvl="2" w:tplc="14090005" w:tentative="1">
      <w:start w:val="1"/>
      <w:numFmt w:val="bullet"/>
      <w:lvlText w:val=""/>
      <w:lvlJc w:val="left"/>
      <w:pPr>
        <w:ind w:left="2280" w:hanging="360"/>
      </w:pPr>
      <w:rPr>
        <w:rFonts w:ascii="Wingdings" w:hAnsi="Wingdings" w:hint="default"/>
      </w:rPr>
    </w:lvl>
    <w:lvl w:ilvl="3" w:tplc="14090001" w:tentative="1">
      <w:start w:val="1"/>
      <w:numFmt w:val="bullet"/>
      <w:lvlText w:val=""/>
      <w:lvlJc w:val="left"/>
      <w:pPr>
        <w:ind w:left="3000" w:hanging="360"/>
      </w:pPr>
      <w:rPr>
        <w:rFonts w:ascii="Symbol" w:hAnsi="Symbol" w:hint="default"/>
      </w:rPr>
    </w:lvl>
    <w:lvl w:ilvl="4" w:tplc="14090003" w:tentative="1">
      <w:start w:val="1"/>
      <w:numFmt w:val="bullet"/>
      <w:lvlText w:val="o"/>
      <w:lvlJc w:val="left"/>
      <w:pPr>
        <w:ind w:left="3720" w:hanging="360"/>
      </w:pPr>
      <w:rPr>
        <w:rFonts w:ascii="Courier New" w:hAnsi="Courier New" w:cs="Courier New" w:hint="default"/>
      </w:rPr>
    </w:lvl>
    <w:lvl w:ilvl="5" w:tplc="14090005" w:tentative="1">
      <w:start w:val="1"/>
      <w:numFmt w:val="bullet"/>
      <w:lvlText w:val=""/>
      <w:lvlJc w:val="left"/>
      <w:pPr>
        <w:ind w:left="4440" w:hanging="360"/>
      </w:pPr>
      <w:rPr>
        <w:rFonts w:ascii="Wingdings" w:hAnsi="Wingdings" w:hint="default"/>
      </w:rPr>
    </w:lvl>
    <w:lvl w:ilvl="6" w:tplc="14090001" w:tentative="1">
      <w:start w:val="1"/>
      <w:numFmt w:val="bullet"/>
      <w:lvlText w:val=""/>
      <w:lvlJc w:val="left"/>
      <w:pPr>
        <w:ind w:left="5160" w:hanging="360"/>
      </w:pPr>
      <w:rPr>
        <w:rFonts w:ascii="Symbol" w:hAnsi="Symbol" w:hint="default"/>
      </w:rPr>
    </w:lvl>
    <w:lvl w:ilvl="7" w:tplc="14090003" w:tentative="1">
      <w:start w:val="1"/>
      <w:numFmt w:val="bullet"/>
      <w:lvlText w:val="o"/>
      <w:lvlJc w:val="left"/>
      <w:pPr>
        <w:ind w:left="5880" w:hanging="360"/>
      </w:pPr>
      <w:rPr>
        <w:rFonts w:ascii="Courier New" w:hAnsi="Courier New" w:cs="Courier New" w:hint="default"/>
      </w:rPr>
    </w:lvl>
    <w:lvl w:ilvl="8" w:tplc="14090005" w:tentative="1">
      <w:start w:val="1"/>
      <w:numFmt w:val="bullet"/>
      <w:lvlText w:val=""/>
      <w:lvlJc w:val="left"/>
      <w:pPr>
        <w:ind w:left="6600" w:hanging="360"/>
      </w:pPr>
      <w:rPr>
        <w:rFonts w:ascii="Wingdings" w:hAnsi="Wingdings" w:hint="default"/>
      </w:rPr>
    </w:lvl>
  </w:abstractNum>
  <w:abstractNum w:abstractNumId="3" w15:restartNumberingAfterBreak="0">
    <w:nsid w:val="08EF65C7"/>
    <w:multiLevelType w:val="hybridMultilevel"/>
    <w:tmpl w:val="7F80E72A"/>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0A3C41A0"/>
    <w:multiLevelType w:val="hybridMultilevel"/>
    <w:tmpl w:val="9A0AF886"/>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0CB35EDD"/>
    <w:multiLevelType w:val="hybridMultilevel"/>
    <w:tmpl w:val="3D9885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6D77419"/>
    <w:multiLevelType w:val="hybridMultilevel"/>
    <w:tmpl w:val="75DAB6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A6831AF"/>
    <w:multiLevelType w:val="hybridMultilevel"/>
    <w:tmpl w:val="738C208A"/>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1C1C0305"/>
    <w:multiLevelType w:val="hybridMultilevel"/>
    <w:tmpl w:val="08EEF7EA"/>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20B03633"/>
    <w:multiLevelType w:val="hybridMultilevel"/>
    <w:tmpl w:val="0ABC11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26C31DA"/>
    <w:multiLevelType w:val="hybridMultilevel"/>
    <w:tmpl w:val="F7C4ADD0"/>
    <w:lvl w:ilvl="0" w:tplc="27E02182">
      <w:numFmt w:val="bullet"/>
      <w:lvlText w:val="-"/>
      <w:lvlJc w:val="left"/>
      <w:pPr>
        <w:ind w:left="720" w:hanging="360"/>
      </w:pPr>
      <w:rPr>
        <w:rFonts w:ascii="Times New Roman" w:eastAsia="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2BF2E20"/>
    <w:multiLevelType w:val="hybridMultilevel"/>
    <w:tmpl w:val="8C24A5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BFA4346"/>
    <w:multiLevelType w:val="hybridMultilevel"/>
    <w:tmpl w:val="C0561DAA"/>
    <w:lvl w:ilvl="0" w:tplc="14090001">
      <w:start w:val="6"/>
      <w:numFmt w:val="bullet"/>
      <w:lvlText w:val=""/>
      <w:lvlJc w:val="left"/>
      <w:pPr>
        <w:ind w:left="720" w:hanging="360"/>
      </w:pPr>
      <w:rPr>
        <w:rFonts w:ascii="Symbol" w:eastAsia="Times New Roman"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C626EDE"/>
    <w:multiLevelType w:val="hybridMultilevel"/>
    <w:tmpl w:val="033425C0"/>
    <w:lvl w:ilvl="0" w:tplc="08090015">
      <w:start w:val="1"/>
      <w:numFmt w:val="upperLetter"/>
      <w:lvlText w:val="%1."/>
      <w:lvlJc w:val="left"/>
      <w:pPr>
        <w:ind w:left="720" w:hanging="360"/>
      </w:pPr>
      <w:rPr>
        <w:b/>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A860B5"/>
    <w:multiLevelType w:val="hybridMultilevel"/>
    <w:tmpl w:val="99802B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0D93B1E"/>
    <w:multiLevelType w:val="hybridMultilevel"/>
    <w:tmpl w:val="C4AC9B00"/>
    <w:lvl w:ilvl="0" w:tplc="2E8E41C8">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BBA7BA0"/>
    <w:multiLevelType w:val="hybridMultilevel"/>
    <w:tmpl w:val="856AB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BE25FE"/>
    <w:multiLevelType w:val="hybridMultilevel"/>
    <w:tmpl w:val="8A80D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9A2C21"/>
    <w:multiLevelType w:val="hybridMultilevel"/>
    <w:tmpl w:val="31ECAC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461731F1"/>
    <w:multiLevelType w:val="hybridMultilevel"/>
    <w:tmpl w:val="037E72B6"/>
    <w:lvl w:ilvl="0" w:tplc="08090015">
      <w:start w:val="1"/>
      <w:numFmt w:val="upperLetter"/>
      <w:lvlText w:val="%1."/>
      <w:lvlJc w:val="left"/>
      <w:pPr>
        <w:ind w:left="720" w:hanging="360"/>
      </w:pPr>
      <w:rPr>
        <w:b/>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585311"/>
    <w:multiLevelType w:val="multilevel"/>
    <w:tmpl w:val="F7843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AF31D53"/>
    <w:multiLevelType w:val="hybridMultilevel"/>
    <w:tmpl w:val="C7A0A2E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4B9D083F"/>
    <w:multiLevelType w:val="hybridMultilevel"/>
    <w:tmpl w:val="13108F70"/>
    <w:lvl w:ilvl="0" w:tplc="14090001">
      <w:start w:val="1"/>
      <w:numFmt w:val="bullet"/>
      <w:lvlText w:val=""/>
      <w:lvlJc w:val="left"/>
      <w:pPr>
        <w:ind w:left="1314" w:hanging="360"/>
      </w:pPr>
      <w:rPr>
        <w:rFonts w:ascii="Symbol" w:hAnsi="Symbol" w:hint="default"/>
      </w:rPr>
    </w:lvl>
    <w:lvl w:ilvl="1" w:tplc="14090003" w:tentative="1">
      <w:start w:val="1"/>
      <w:numFmt w:val="bullet"/>
      <w:lvlText w:val="o"/>
      <w:lvlJc w:val="left"/>
      <w:pPr>
        <w:ind w:left="2034" w:hanging="360"/>
      </w:pPr>
      <w:rPr>
        <w:rFonts w:ascii="Courier New" w:hAnsi="Courier New" w:cs="Courier New" w:hint="default"/>
      </w:rPr>
    </w:lvl>
    <w:lvl w:ilvl="2" w:tplc="14090005" w:tentative="1">
      <w:start w:val="1"/>
      <w:numFmt w:val="bullet"/>
      <w:lvlText w:val=""/>
      <w:lvlJc w:val="left"/>
      <w:pPr>
        <w:ind w:left="2754" w:hanging="360"/>
      </w:pPr>
      <w:rPr>
        <w:rFonts w:ascii="Wingdings" w:hAnsi="Wingdings" w:hint="default"/>
      </w:rPr>
    </w:lvl>
    <w:lvl w:ilvl="3" w:tplc="14090001" w:tentative="1">
      <w:start w:val="1"/>
      <w:numFmt w:val="bullet"/>
      <w:lvlText w:val=""/>
      <w:lvlJc w:val="left"/>
      <w:pPr>
        <w:ind w:left="3474" w:hanging="360"/>
      </w:pPr>
      <w:rPr>
        <w:rFonts w:ascii="Symbol" w:hAnsi="Symbol" w:hint="default"/>
      </w:rPr>
    </w:lvl>
    <w:lvl w:ilvl="4" w:tplc="14090003" w:tentative="1">
      <w:start w:val="1"/>
      <w:numFmt w:val="bullet"/>
      <w:lvlText w:val="o"/>
      <w:lvlJc w:val="left"/>
      <w:pPr>
        <w:ind w:left="4194" w:hanging="360"/>
      </w:pPr>
      <w:rPr>
        <w:rFonts w:ascii="Courier New" w:hAnsi="Courier New" w:cs="Courier New" w:hint="default"/>
      </w:rPr>
    </w:lvl>
    <w:lvl w:ilvl="5" w:tplc="14090005" w:tentative="1">
      <w:start w:val="1"/>
      <w:numFmt w:val="bullet"/>
      <w:lvlText w:val=""/>
      <w:lvlJc w:val="left"/>
      <w:pPr>
        <w:ind w:left="4914" w:hanging="360"/>
      </w:pPr>
      <w:rPr>
        <w:rFonts w:ascii="Wingdings" w:hAnsi="Wingdings" w:hint="default"/>
      </w:rPr>
    </w:lvl>
    <w:lvl w:ilvl="6" w:tplc="14090001" w:tentative="1">
      <w:start w:val="1"/>
      <w:numFmt w:val="bullet"/>
      <w:lvlText w:val=""/>
      <w:lvlJc w:val="left"/>
      <w:pPr>
        <w:ind w:left="5634" w:hanging="360"/>
      </w:pPr>
      <w:rPr>
        <w:rFonts w:ascii="Symbol" w:hAnsi="Symbol" w:hint="default"/>
      </w:rPr>
    </w:lvl>
    <w:lvl w:ilvl="7" w:tplc="14090003" w:tentative="1">
      <w:start w:val="1"/>
      <w:numFmt w:val="bullet"/>
      <w:lvlText w:val="o"/>
      <w:lvlJc w:val="left"/>
      <w:pPr>
        <w:ind w:left="6354" w:hanging="360"/>
      </w:pPr>
      <w:rPr>
        <w:rFonts w:ascii="Courier New" w:hAnsi="Courier New" w:cs="Courier New" w:hint="default"/>
      </w:rPr>
    </w:lvl>
    <w:lvl w:ilvl="8" w:tplc="14090005" w:tentative="1">
      <w:start w:val="1"/>
      <w:numFmt w:val="bullet"/>
      <w:lvlText w:val=""/>
      <w:lvlJc w:val="left"/>
      <w:pPr>
        <w:ind w:left="7074" w:hanging="360"/>
      </w:pPr>
      <w:rPr>
        <w:rFonts w:ascii="Wingdings" w:hAnsi="Wingdings" w:hint="default"/>
      </w:rPr>
    </w:lvl>
  </w:abstractNum>
  <w:abstractNum w:abstractNumId="23" w15:restartNumberingAfterBreak="0">
    <w:nsid w:val="4CE247FF"/>
    <w:multiLevelType w:val="hybridMultilevel"/>
    <w:tmpl w:val="A5C27C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4D922BC9"/>
    <w:multiLevelType w:val="hybridMultilevel"/>
    <w:tmpl w:val="C5CE059E"/>
    <w:lvl w:ilvl="0" w:tplc="065403D8">
      <w:numFmt w:val="bullet"/>
      <w:lvlText w:val="-"/>
      <w:lvlJc w:val="left"/>
      <w:pPr>
        <w:ind w:left="720" w:hanging="360"/>
      </w:pPr>
      <w:rPr>
        <w:rFonts w:ascii="Arial" w:eastAsia="Arial Unicode MS"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4E460326"/>
    <w:multiLevelType w:val="hybridMultilevel"/>
    <w:tmpl w:val="CDDE1D6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4E4A3C41"/>
    <w:multiLevelType w:val="hybridMultilevel"/>
    <w:tmpl w:val="27788DF6"/>
    <w:lvl w:ilvl="0" w:tplc="14090001">
      <w:start w:val="28"/>
      <w:numFmt w:val="bullet"/>
      <w:lvlText w:val=""/>
      <w:lvlJc w:val="left"/>
      <w:pPr>
        <w:ind w:left="720" w:hanging="360"/>
      </w:pPr>
      <w:rPr>
        <w:rFonts w:ascii="Symbol" w:eastAsia="Times New Roman"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4F7B6B2B"/>
    <w:multiLevelType w:val="hybridMultilevel"/>
    <w:tmpl w:val="37704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2303B0"/>
    <w:multiLevelType w:val="hybridMultilevel"/>
    <w:tmpl w:val="B37AD4C4"/>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5C987430"/>
    <w:multiLevelType w:val="hybridMultilevel"/>
    <w:tmpl w:val="41E6767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0" w15:restartNumberingAfterBreak="0">
    <w:nsid w:val="647E7B4D"/>
    <w:multiLevelType w:val="hybridMultilevel"/>
    <w:tmpl w:val="1CCE4E58"/>
    <w:lvl w:ilvl="0" w:tplc="1480B58A">
      <w:start w:val="1"/>
      <w:numFmt w:val="decimal"/>
      <w:lvlText w:val="%1)"/>
      <w:lvlJc w:val="left"/>
      <w:pPr>
        <w:ind w:left="954" w:hanging="360"/>
      </w:pPr>
      <w:rPr>
        <w:rFonts w:hint="default"/>
      </w:rPr>
    </w:lvl>
    <w:lvl w:ilvl="1" w:tplc="14090019" w:tentative="1">
      <w:start w:val="1"/>
      <w:numFmt w:val="lowerLetter"/>
      <w:lvlText w:val="%2."/>
      <w:lvlJc w:val="left"/>
      <w:pPr>
        <w:ind w:left="1674" w:hanging="360"/>
      </w:pPr>
    </w:lvl>
    <w:lvl w:ilvl="2" w:tplc="1409001B" w:tentative="1">
      <w:start w:val="1"/>
      <w:numFmt w:val="lowerRoman"/>
      <w:lvlText w:val="%3."/>
      <w:lvlJc w:val="right"/>
      <w:pPr>
        <w:ind w:left="2394" w:hanging="180"/>
      </w:pPr>
    </w:lvl>
    <w:lvl w:ilvl="3" w:tplc="1409000F" w:tentative="1">
      <w:start w:val="1"/>
      <w:numFmt w:val="decimal"/>
      <w:lvlText w:val="%4."/>
      <w:lvlJc w:val="left"/>
      <w:pPr>
        <w:ind w:left="3114" w:hanging="360"/>
      </w:pPr>
    </w:lvl>
    <w:lvl w:ilvl="4" w:tplc="14090019" w:tentative="1">
      <w:start w:val="1"/>
      <w:numFmt w:val="lowerLetter"/>
      <w:lvlText w:val="%5."/>
      <w:lvlJc w:val="left"/>
      <w:pPr>
        <w:ind w:left="3834" w:hanging="360"/>
      </w:pPr>
    </w:lvl>
    <w:lvl w:ilvl="5" w:tplc="1409001B" w:tentative="1">
      <w:start w:val="1"/>
      <w:numFmt w:val="lowerRoman"/>
      <w:lvlText w:val="%6."/>
      <w:lvlJc w:val="right"/>
      <w:pPr>
        <w:ind w:left="4554" w:hanging="180"/>
      </w:pPr>
    </w:lvl>
    <w:lvl w:ilvl="6" w:tplc="1409000F" w:tentative="1">
      <w:start w:val="1"/>
      <w:numFmt w:val="decimal"/>
      <w:lvlText w:val="%7."/>
      <w:lvlJc w:val="left"/>
      <w:pPr>
        <w:ind w:left="5274" w:hanging="360"/>
      </w:pPr>
    </w:lvl>
    <w:lvl w:ilvl="7" w:tplc="14090019" w:tentative="1">
      <w:start w:val="1"/>
      <w:numFmt w:val="lowerLetter"/>
      <w:lvlText w:val="%8."/>
      <w:lvlJc w:val="left"/>
      <w:pPr>
        <w:ind w:left="5994" w:hanging="360"/>
      </w:pPr>
    </w:lvl>
    <w:lvl w:ilvl="8" w:tplc="1409001B" w:tentative="1">
      <w:start w:val="1"/>
      <w:numFmt w:val="lowerRoman"/>
      <w:lvlText w:val="%9."/>
      <w:lvlJc w:val="right"/>
      <w:pPr>
        <w:ind w:left="6714" w:hanging="180"/>
      </w:pPr>
    </w:lvl>
  </w:abstractNum>
  <w:abstractNum w:abstractNumId="31" w15:restartNumberingAfterBreak="0">
    <w:nsid w:val="77D73896"/>
    <w:multiLevelType w:val="hybridMultilevel"/>
    <w:tmpl w:val="2A044614"/>
    <w:lvl w:ilvl="0" w:tplc="4D90E322">
      <w:start w:val="1"/>
      <w:numFmt w:val="decimal"/>
      <w:lvlText w:val="%1)"/>
      <w:lvlJc w:val="left"/>
      <w:pPr>
        <w:ind w:left="720" w:hanging="360"/>
      </w:pPr>
      <w:rPr>
        <w:rFonts w:hint="default"/>
        <w:sz w:val="16"/>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15:restartNumberingAfterBreak="0">
    <w:nsid w:val="793F40DE"/>
    <w:multiLevelType w:val="hybridMultilevel"/>
    <w:tmpl w:val="73C0EC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7F971981"/>
    <w:multiLevelType w:val="hybridMultilevel"/>
    <w:tmpl w:val="498844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9"/>
  </w:num>
  <w:num w:numId="2">
    <w:abstractNumId w:val="17"/>
  </w:num>
  <w:num w:numId="3">
    <w:abstractNumId w:val="16"/>
  </w:num>
  <w:num w:numId="4">
    <w:abstractNumId w:val="27"/>
  </w:num>
  <w:num w:numId="5">
    <w:abstractNumId w:val="2"/>
  </w:num>
  <w:num w:numId="6">
    <w:abstractNumId w:val="5"/>
  </w:num>
  <w:num w:numId="7">
    <w:abstractNumId w:val="28"/>
  </w:num>
  <w:num w:numId="8">
    <w:abstractNumId w:val="13"/>
  </w:num>
  <w:num w:numId="9">
    <w:abstractNumId w:val="10"/>
  </w:num>
  <w:num w:numId="10">
    <w:abstractNumId w:val="26"/>
  </w:num>
  <w:num w:numId="11">
    <w:abstractNumId w:val="31"/>
  </w:num>
  <w:num w:numId="12">
    <w:abstractNumId w:val="12"/>
  </w:num>
  <w:num w:numId="13">
    <w:abstractNumId w:val="7"/>
  </w:num>
  <w:num w:numId="14">
    <w:abstractNumId w:val="20"/>
  </w:num>
  <w:num w:numId="15">
    <w:abstractNumId w:val="24"/>
  </w:num>
  <w:num w:numId="16">
    <w:abstractNumId w:val="9"/>
  </w:num>
  <w:num w:numId="17">
    <w:abstractNumId w:val="3"/>
  </w:num>
  <w:num w:numId="18">
    <w:abstractNumId w:val="15"/>
  </w:num>
  <w:num w:numId="19">
    <w:abstractNumId w:val="4"/>
  </w:num>
  <w:num w:numId="20">
    <w:abstractNumId w:val="25"/>
  </w:num>
  <w:num w:numId="21">
    <w:abstractNumId w:val="21"/>
  </w:num>
  <w:num w:numId="22">
    <w:abstractNumId w:val="29"/>
  </w:num>
  <w:num w:numId="23">
    <w:abstractNumId w:val="6"/>
  </w:num>
  <w:num w:numId="24">
    <w:abstractNumId w:val="1"/>
  </w:num>
  <w:num w:numId="25">
    <w:abstractNumId w:val="30"/>
  </w:num>
  <w:num w:numId="26">
    <w:abstractNumId w:val="8"/>
  </w:num>
  <w:num w:numId="27">
    <w:abstractNumId w:val="22"/>
  </w:num>
  <w:num w:numId="28">
    <w:abstractNumId w:val="0"/>
  </w:num>
  <w:num w:numId="29">
    <w:abstractNumId w:val="23"/>
  </w:num>
  <w:num w:numId="30">
    <w:abstractNumId w:val="18"/>
  </w:num>
  <w:num w:numId="31">
    <w:abstractNumId w:val="14"/>
  </w:num>
  <w:num w:numId="32">
    <w:abstractNumId w:val="32"/>
  </w:num>
  <w:num w:numId="33">
    <w:abstractNumId w:val="11"/>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2869DD"/>
    <w:rsid w:val="002869DD"/>
    <w:rsid w:val="003543B0"/>
    <w:rsid w:val="0060236C"/>
    <w:rsid w:val="00612C10"/>
    <w:rsid w:val="00767CD3"/>
    <w:rsid w:val="00835489"/>
    <w:rsid w:val="00B119A8"/>
    <w:rsid w:val="00CC4D58"/>
    <w:rsid w:val="00DA11F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661AF"/>
  <w15:chartTrackingRefBased/>
  <w15:docId w15:val="{C9D987F8-09D3-40E2-BDE9-DE553F239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9DD"/>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2869DD"/>
    <w:pPr>
      <w:keepNext/>
      <w:keepLines/>
      <w:spacing w:before="240" w:line="259" w:lineRule="auto"/>
      <w:outlineLvl w:val="0"/>
    </w:pPr>
    <w:rPr>
      <w:rFonts w:asciiTheme="majorHAnsi" w:eastAsiaTheme="majorEastAsia" w:hAnsiTheme="majorHAnsi" w:cstheme="majorBidi"/>
      <w:color w:val="2E74B5" w:themeColor="accent1" w:themeShade="BF"/>
      <w:sz w:val="32"/>
      <w:szCs w:val="32"/>
      <w:lang w:val="en-NZ"/>
    </w:rPr>
  </w:style>
  <w:style w:type="paragraph" w:styleId="Heading3">
    <w:name w:val="heading 3"/>
    <w:basedOn w:val="Normal"/>
    <w:next w:val="Normal"/>
    <w:link w:val="Heading3Char"/>
    <w:uiPriority w:val="9"/>
    <w:semiHidden/>
    <w:unhideWhenUsed/>
    <w:qFormat/>
    <w:rsid w:val="002869DD"/>
    <w:pPr>
      <w:keepNext/>
      <w:keepLines/>
      <w:spacing w:before="40"/>
      <w:outlineLvl w:val="2"/>
    </w:pPr>
    <w:rPr>
      <w:rFonts w:asciiTheme="majorHAnsi" w:eastAsiaTheme="majorEastAsia" w:hAnsiTheme="majorHAnsi" w:cstheme="majorBidi"/>
      <w:color w:val="1F4D78" w:themeColor="accent1" w:themeShade="7F"/>
    </w:rPr>
  </w:style>
  <w:style w:type="paragraph" w:styleId="Heading5">
    <w:name w:val="heading 5"/>
    <w:basedOn w:val="Normal"/>
    <w:link w:val="Heading5Char"/>
    <w:uiPriority w:val="9"/>
    <w:qFormat/>
    <w:rsid w:val="002869DD"/>
    <w:pPr>
      <w:spacing w:before="100" w:beforeAutospacing="1" w:after="100" w:afterAutospacing="1"/>
      <w:outlineLvl w:val="4"/>
    </w:pPr>
    <w:rPr>
      <w:b/>
      <w:bCs/>
      <w:sz w:val="20"/>
      <w:szCs w:val="20"/>
      <w:lang w:val="en-NZ"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69DD"/>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2869DD"/>
    <w:rPr>
      <w:rFonts w:asciiTheme="majorHAnsi" w:eastAsiaTheme="majorEastAsia" w:hAnsiTheme="majorHAnsi" w:cstheme="majorBidi"/>
      <w:color w:val="1F4D78" w:themeColor="accent1" w:themeShade="7F"/>
      <w:sz w:val="24"/>
      <w:szCs w:val="24"/>
      <w:lang w:val="en-GB"/>
    </w:rPr>
  </w:style>
  <w:style w:type="character" w:customStyle="1" w:styleId="Heading5Char">
    <w:name w:val="Heading 5 Char"/>
    <w:basedOn w:val="DefaultParagraphFont"/>
    <w:link w:val="Heading5"/>
    <w:uiPriority w:val="9"/>
    <w:rsid w:val="002869DD"/>
    <w:rPr>
      <w:rFonts w:ascii="Times New Roman" w:eastAsia="Times New Roman" w:hAnsi="Times New Roman" w:cs="Times New Roman"/>
      <w:b/>
      <w:bCs/>
      <w:sz w:val="20"/>
      <w:szCs w:val="20"/>
      <w:lang w:eastAsia="en-NZ"/>
    </w:rPr>
  </w:style>
  <w:style w:type="paragraph" w:customStyle="1" w:styleId="Body1">
    <w:name w:val="Body 1"/>
    <w:rsid w:val="002869DD"/>
    <w:pPr>
      <w:spacing w:after="0" w:line="240" w:lineRule="auto"/>
    </w:pPr>
    <w:rPr>
      <w:rFonts w:ascii="Helvetica" w:eastAsia="Arial Unicode MS" w:hAnsi="Helvetica" w:cs="Times New Roman"/>
      <w:color w:val="000000"/>
      <w:sz w:val="24"/>
      <w:szCs w:val="20"/>
      <w:lang w:val="en-GB" w:eastAsia="en-GB"/>
    </w:rPr>
  </w:style>
  <w:style w:type="character" w:styleId="Hyperlink">
    <w:name w:val="Hyperlink"/>
    <w:uiPriority w:val="99"/>
    <w:rsid w:val="002869DD"/>
    <w:rPr>
      <w:color w:val="0000FF"/>
      <w:u w:val="single"/>
    </w:rPr>
  </w:style>
  <w:style w:type="character" w:styleId="CommentReference">
    <w:name w:val="annotation reference"/>
    <w:basedOn w:val="DefaultParagraphFont"/>
    <w:uiPriority w:val="99"/>
    <w:semiHidden/>
    <w:unhideWhenUsed/>
    <w:rsid w:val="002869DD"/>
    <w:rPr>
      <w:sz w:val="16"/>
      <w:szCs w:val="16"/>
    </w:rPr>
  </w:style>
  <w:style w:type="paragraph" w:styleId="CommentText">
    <w:name w:val="annotation text"/>
    <w:basedOn w:val="Normal"/>
    <w:link w:val="CommentTextChar"/>
    <w:uiPriority w:val="99"/>
    <w:unhideWhenUsed/>
    <w:rsid w:val="002869DD"/>
    <w:rPr>
      <w:sz w:val="20"/>
      <w:szCs w:val="20"/>
    </w:rPr>
  </w:style>
  <w:style w:type="character" w:customStyle="1" w:styleId="CommentTextChar">
    <w:name w:val="Comment Text Char"/>
    <w:basedOn w:val="DefaultParagraphFont"/>
    <w:link w:val="CommentText"/>
    <w:uiPriority w:val="99"/>
    <w:rsid w:val="002869DD"/>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2869DD"/>
    <w:rPr>
      <w:b/>
      <w:bCs/>
    </w:rPr>
  </w:style>
  <w:style w:type="character" w:customStyle="1" w:styleId="CommentSubjectChar">
    <w:name w:val="Comment Subject Char"/>
    <w:basedOn w:val="CommentTextChar"/>
    <w:link w:val="CommentSubject"/>
    <w:uiPriority w:val="99"/>
    <w:semiHidden/>
    <w:rsid w:val="002869DD"/>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2869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69DD"/>
    <w:rPr>
      <w:rFonts w:ascii="Segoe UI" w:eastAsia="Times New Roman" w:hAnsi="Segoe UI" w:cs="Segoe UI"/>
      <w:sz w:val="18"/>
      <w:szCs w:val="18"/>
      <w:lang w:val="en-GB"/>
    </w:rPr>
  </w:style>
  <w:style w:type="paragraph" w:customStyle="1" w:styleId="BodyBullet">
    <w:name w:val="Body Bullet"/>
    <w:link w:val="BodyBulletChar"/>
    <w:rsid w:val="002869DD"/>
    <w:pPr>
      <w:spacing w:after="0" w:line="240" w:lineRule="auto"/>
    </w:pPr>
    <w:rPr>
      <w:rFonts w:ascii="Helvetica" w:eastAsia="Arial Unicode MS" w:hAnsi="Helvetica" w:cs="Times New Roman"/>
      <w:color w:val="000000"/>
      <w:sz w:val="24"/>
      <w:szCs w:val="20"/>
      <w:lang w:val="en-GB" w:eastAsia="en-GB"/>
    </w:rPr>
  </w:style>
  <w:style w:type="character" w:customStyle="1" w:styleId="label">
    <w:name w:val="label"/>
    <w:basedOn w:val="DefaultParagraphFont"/>
    <w:rsid w:val="002869DD"/>
  </w:style>
  <w:style w:type="paragraph" w:customStyle="1" w:styleId="text">
    <w:name w:val="text"/>
    <w:basedOn w:val="Normal"/>
    <w:rsid w:val="002869DD"/>
    <w:pPr>
      <w:spacing w:before="100" w:beforeAutospacing="1" w:after="100" w:afterAutospacing="1"/>
    </w:pPr>
    <w:rPr>
      <w:lang w:val="en-NZ" w:eastAsia="en-NZ"/>
    </w:rPr>
  </w:style>
  <w:style w:type="paragraph" w:styleId="ListParagraph">
    <w:name w:val="List Paragraph"/>
    <w:basedOn w:val="Normal"/>
    <w:uiPriority w:val="34"/>
    <w:qFormat/>
    <w:rsid w:val="002869DD"/>
    <w:pPr>
      <w:ind w:left="720"/>
      <w:contextualSpacing/>
    </w:pPr>
  </w:style>
  <w:style w:type="paragraph" w:styleId="NormalWeb">
    <w:name w:val="Normal (Web)"/>
    <w:basedOn w:val="Normal"/>
    <w:uiPriority w:val="99"/>
    <w:semiHidden/>
    <w:unhideWhenUsed/>
    <w:rsid w:val="002869DD"/>
    <w:pPr>
      <w:spacing w:before="100" w:beforeAutospacing="1" w:after="100" w:afterAutospacing="1"/>
    </w:pPr>
    <w:rPr>
      <w:lang w:val="en-NZ" w:eastAsia="en-NZ"/>
    </w:rPr>
  </w:style>
  <w:style w:type="paragraph" w:styleId="FootnoteText">
    <w:name w:val="footnote text"/>
    <w:basedOn w:val="Normal"/>
    <w:link w:val="FootnoteTextChar"/>
    <w:uiPriority w:val="99"/>
    <w:semiHidden/>
    <w:unhideWhenUsed/>
    <w:rsid w:val="002869DD"/>
    <w:rPr>
      <w:sz w:val="20"/>
      <w:szCs w:val="20"/>
    </w:rPr>
  </w:style>
  <w:style w:type="character" w:customStyle="1" w:styleId="FootnoteTextChar">
    <w:name w:val="Footnote Text Char"/>
    <w:basedOn w:val="DefaultParagraphFont"/>
    <w:link w:val="FootnoteText"/>
    <w:uiPriority w:val="99"/>
    <w:semiHidden/>
    <w:rsid w:val="002869DD"/>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2869DD"/>
    <w:rPr>
      <w:vertAlign w:val="superscript"/>
    </w:rPr>
  </w:style>
  <w:style w:type="table" w:styleId="TableGrid">
    <w:name w:val="Table Grid"/>
    <w:basedOn w:val="TableNormal"/>
    <w:uiPriority w:val="39"/>
    <w:rsid w:val="002869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4">
    <w:name w:val="Grid Table 4 Accent 4"/>
    <w:basedOn w:val="TableNormal"/>
    <w:uiPriority w:val="49"/>
    <w:rsid w:val="002869DD"/>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Revision">
    <w:name w:val="Revision"/>
    <w:hidden/>
    <w:uiPriority w:val="99"/>
    <w:semiHidden/>
    <w:rsid w:val="002869DD"/>
    <w:pPr>
      <w:spacing w:after="0" w:line="240" w:lineRule="auto"/>
    </w:pPr>
    <w:rPr>
      <w:rFonts w:ascii="Times New Roman" w:eastAsia="Times New Roman" w:hAnsi="Times New Roman" w:cs="Times New Roman"/>
      <w:sz w:val="24"/>
      <w:szCs w:val="24"/>
      <w:lang w:val="en-GB"/>
    </w:rPr>
  </w:style>
  <w:style w:type="character" w:styleId="FollowedHyperlink">
    <w:name w:val="FollowedHyperlink"/>
    <w:basedOn w:val="DefaultParagraphFont"/>
    <w:uiPriority w:val="99"/>
    <w:semiHidden/>
    <w:unhideWhenUsed/>
    <w:rsid w:val="002869DD"/>
    <w:rPr>
      <w:color w:val="954F72" w:themeColor="followedHyperlink"/>
      <w:u w:val="single"/>
    </w:rPr>
  </w:style>
  <w:style w:type="paragraph" w:styleId="Header">
    <w:name w:val="header"/>
    <w:basedOn w:val="Normal"/>
    <w:link w:val="HeaderChar"/>
    <w:uiPriority w:val="99"/>
    <w:unhideWhenUsed/>
    <w:rsid w:val="002869DD"/>
    <w:pPr>
      <w:tabs>
        <w:tab w:val="center" w:pos="4513"/>
        <w:tab w:val="right" w:pos="9026"/>
      </w:tabs>
    </w:pPr>
  </w:style>
  <w:style w:type="character" w:customStyle="1" w:styleId="HeaderChar">
    <w:name w:val="Header Char"/>
    <w:basedOn w:val="DefaultParagraphFont"/>
    <w:link w:val="Header"/>
    <w:uiPriority w:val="99"/>
    <w:rsid w:val="002869DD"/>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2869DD"/>
    <w:pPr>
      <w:tabs>
        <w:tab w:val="center" w:pos="4513"/>
        <w:tab w:val="right" w:pos="9026"/>
      </w:tabs>
    </w:pPr>
  </w:style>
  <w:style w:type="character" w:customStyle="1" w:styleId="FooterChar">
    <w:name w:val="Footer Char"/>
    <w:basedOn w:val="DefaultParagraphFont"/>
    <w:link w:val="Footer"/>
    <w:uiPriority w:val="99"/>
    <w:rsid w:val="002869DD"/>
    <w:rPr>
      <w:rFonts w:ascii="Times New Roman" w:eastAsia="Times New Roman" w:hAnsi="Times New Roman" w:cs="Times New Roman"/>
      <w:sz w:val="24"/>
      <w:szCs w:val="24"/>
      <w:lang w:val="en-GB"/>
    </w:rPr>
  </w:style>
  <w:style w:type="paragraph" w:customStyle="1" w:styleId="EndNoteBibliographyTitle">
    <w:name w:val="EndNote Bibliography Title"/>
    <w:basedOn w:val="Normal"/>
    <w:link w:val="EndNoteBibliographyTitleChar"/>
    <w:rsid w:val="002869DD"/>
    <w:pPr>
      <w:jc w:val="center"/>
    </w:pPr>
    <w:rPr>
      <w:rFonts w:ascii="Helvetica" w:hAnsi="Helvetica" w:cs="Helvetica"/>
      <w:noProof/>
      <w:color w:val="000000"/>
      <w:lang w:val="en-US" w:eastAsia="en-GB"/>
    </w:rPr>
  </w:style>
  <w:style w:type="character" w:customStyle="1" w:styleId="BodyBulletChar">
    <w:name w:val="Body Bullet Char"/>
    <w:basedOn w:val="DefaultParagraphFont"/>
    <w:link w:val="BodyBullet"/>
    <w:rsid w:val="002869DD"/>
    <w:rPr>
      <w:rFonts w:ascii="Helvetica" w:eastAsia="Arial Unicode MS" w:hAnsi="Helvetica" w:cs="Times New Roman"/>
      <w:color w:val="000000"/>
      <w:sz w:val="24"/>
      <w:szCs w:val="20"/>
      <w:lang w:val="en-GB" w:eastAsia="en-GB"/>
    </w:rPr>
  </w:style>
  <w:style w:type="character" w:customStyle="1" w:styleId="EndNoteBibliographyTitleChar">
    <w:name w:val="EndNote Bibliography Title Char"/>
    <w:basedOn w:val="BodyBulletChar"/>
    <w:link w:val="EndNoteBibliographyTitle"/>
    <w:rsid w:val="002869DD"/>
    <w:rPr>
      <w:rFonts w:ascii="Helvetica" w:eastAsia="Times New Roman" w:hAnsi="Helvetica" w:cs="Helvetica"/>
      <w:noProof/>
      <w:color w:val="000000"/>
      <w:sz w:val="24"/>
      <w:szCs w:val="24"/>
      <w:lang w:val="en-US" w:eastAsia="en-GB"/>
    </w:rPr>
  </w:style>
  <w:style w:type="paragraph" w:customStyle="1" w:styleId="EndNoteBibliography">
    <w:name w:val="EndNote Bibliography"/>
    <w:basedOn w:val="Normal"/>
    <w:link w:val="EndNoteBibliographyChar"/>
    <w:rsid w:val="002869DD"/>
    <w:rPr>
      <w:rFonts w:ascii="Helvetica" w:hAnsi="Helvetica" w:cs="Helvetica"/>
      <w:noProof/>
      <w:color w:val="000000"/>
      <w:lang w:val="en-US" w:eastAsia="en-GB"/>
    </w:rPr>
  </w:style>
  <w:style w:type="character" w:customStyle="1" w:styleId="EndNoteBibliographyChar">
    <w:name w:val="EndNote Bibliography Char"/>
    <w:basedOn w:val="BodyBulletChar"/>
    <w:link w:val="EndNoteBibliography"/>
    <w:rsid w:val="002869DD"/>
    <w:rPr>
      <w:rFonts w:ascii="Helvetica" w:eastAsia="Times New Roman" w:hAnsi="Helvetica" w:cs="Helvetica"/>
      <w:noProof/>
      <w:color w:val="000000"/>
      <w:sz w:val="24"/>
      <w:szCs w:val="24"/>
      <w:lang w:val="en-US" w:eastAsia="en-GB"/>
    </w:rPr>
  </w:style>
  <w:style w:type="paragraph" w:customStyle="1" w:styleId="Default">
    <w:name w:val="Default"/>
    <w:rsid w:val="002869DD"/>
    <w:pPr>
      <w:autoSpaceDE w:val="0"/>
      <w:autoSpaceDN w:val="0"/>
      <w:adjustRightInd w:val="0"/>
      <w:spacing w:after="0" w:line="240" w:lineRule="auto"/>
    </w:pPr>
    <w:rPr>
      <w:rFonts w:ascii="Calibri" w:hAnsi="Calibri" w:cs="Calibri"/>
      <w:color w:val="000000"/>
      <w:sz w:val="24"/>
      <w:szCs w:val="24"/>
    </w:rPr>
  </w:style>
  <w:style w:type="character" w:customStyle="1" w:styleId="UnresolvedMention1">
    <w:name w:val="Unresolved Mention1"/>
    <w:basedOn w:val="DefaultParagraphFont"/>
    <w:uiPriority w:val="99"/>
    <w:semiHidden/>
    <w:unhideWhenUsed/>
    <w:rsid w:val="002869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7792750">
      <w:bodyDiv w:val="1"/>
      <w:marLeft w:val="0"/>
      <w:marRight w:val="0"/>
      <w:marTop w:val="0"/>
      <w:marBottom w:val="0"/>
      <w:divBdr>
        <w:top w:val="none" w:sz="0" w:space="0" w:color="auto"/>
        <w:left w:val="none" w:sz="0" w:space="0" w:color="auto"/>
        <w:bottom w:val="none" w:sz="0" w:space="0" w:color="auto"/>
        <w:right w:val="none" w:sz="0" w:space="0" w:color="auto"/>
      </w:divBdr>
    </w:div>
    <w:div w:id="1849565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edback@ICCC.mfe.govt.nz" TargetMode="External"/><Relationship Id="rId13" Type="http://schemas.openxmlformats.org/officeDocument/2006/relationships/hyperlink" Target="mailto:feedback@ICCC.mfe.govt.nz" TargetMode="External"/><Relationship Id="rId18" Type="http://schemas.openxmlformats.org/officeDocument/2006/relationships/hyperlink" Target="https://www.thelancet.com/journals/lanplh/article/PIIS2542-5196(17)30003-7/fulltext" TargetMode="External"/><Relationship Id="rId26" Type="http://schemas.openxmlformats.org/officeDocument/2006/relationships/customXml" Target="../customXml/item4.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hyperlink" Target="http://www.legislation.govt.nz/bill/government/2019/0136/latest/LMS183736.html" TargetMode="External"/><Relationship Id="rId17" Type="http://schemas.openxmlformats.org/officeDocument/2006/relationships/hyperlink" Target="http://www.nzma.org.nz/journal/read-the-journal/all-issues/2010-2019/2014/vol-127-no-1406/6366" TargetMode="External"/><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yperlink" Target="mailto:feedback@ICCC.mfe.govt.nz"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ccc.mfe.govt.nz/our-news/updates-from-the-chair/iccc-work-programme-from-1-may-2019/" TargetMode="External"/><Relationship Id="rId24"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yperlink" Target="mailto:feedback@ICCC.mfe.govt.nz" TargetMode="External"/><Relationship Id="rId23" Type="http://schemas.openxmlformats.org/officeDocument/2006/relationships/customXml" Target="../customXml/item1.xml"/><Relationship Id="rId10" Type="http://schemas.openxmlformats.org/officeDocument/2006/relationships/hyperlink" Target="https://www.iccc.mfe.govt.nz/assets/PDF_Library/57c3716753/AMENDED-Terms-of-Reference-for-the-Interim-Climate-Change-Committee-May-Dec-2019.pdf" TargetMode="External"/><Relationship Id="rId19" Type="http://schemas.openxmlformats.org/officeDocument/2006/relationships/hyperlink" Target="https://theconversation.com/climate-explained-the-environmental-footprint-of-electric-versus-fossil-cars-124762"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mailto:feedback@ICCC.mfe.govt.nz"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ustainablecities.org.nz/wp-content/uploads/Shaw...Chapman...-et-al-Apr18-NZCSC-Submission-on-Draft-GPS-2018.pdf" TargetMode="External"/><Relationship Id="rId1" Type="http://schemas.openxmlformats.org/officeDocument/2006/relationships/hyperlink" Target="http://www.legislation.govt.nz/bill/government/2019/0136/latest/LMS18373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Document" ma:contentTypeID="0x0101004EF0C6779F4B694981239F43C9D1BFB900629FBB9320A9D0448047082C81343564" ma:contentTypeVersion="43" ma:contentTypeDescription="Create a new document." ma:contentTypeScope="" ma:versionID="40c1608280af7f0850f764691ddfc6b0">
  <xsd:schema xmlns:xsd="http://www.w3.org/2001/XMLSchema" xmlns:xs="http://www.w3.org/2001/XMLSchema" xmlns:p="http://schemas.microsoft.com/office/2006/metadata/properties" xmlns:ns2="02bffcbe-7cf8-467d-a91b-a3e0dbcae01e" xmlns:ns3="a9df0e0e-9b5b-47bc-81c1-d190dfb54f87" xmlns:ns4="b30672e7-690a-4c93-a50a-a028bc8f475d" xmlns:ns5="70761194-623b-4751-a0da-29ad6551f95e" xmlns:ns6="e056367e-ce34-417e-a8e6-b7249075f61b" xmlns:ns7="17c2416a-018c-4aca-921f-c4fcbb050b8b" targetNamespace="http://schemas.microsoft.com/office/2006/metadata/properties" ma:root="true" ma:fieldsID="429e1a0b531b803074059e6bdfb6cc1e" ns2:_="" ns3:_="" ns4:_="" ns5:_="" ns6:_="" ns7:_="">
    <xsd:import namespace="02bffcbe-7cf8-467d-a91b-a3e0dbcae01e"/>
    <xsd:import namespace="a9df0e0e-9b5b-47bc-81c1-d190dfb54f87"/>
    <xsd:import namespace="b30672e7-690a-4c93-a50a-a028bc8f475d"/>
    <xsd:import namespace="70761194-623b-4751-a0da-29ad6551f95e"/>
    <xsd:import namespace="e056367e-ce34-417e-a8e6-b7249075f61b"/>
    <xsd:import namespace="17c2416a-018c-4aca-921f-c4fcbb050b8b"/>
    <xsd:element name="properties">
      <xsd:complexType>
        <xsd:sequence>
          <xsd:element name="documentManagement">
            <xsd:complexType>
              <xsd:all>
                <xsd:element ref="ns2:DocumentType" minOccurs="0"/>
                <xsd:element ref="ns3:Narrative" minOccurs="0"/>
                <xsd:element ref="ns4:OTDocID" minOccurs="0"/>
                <xsd:element ref="ns4:OTModifiedBy" minOccurs="0"/>
                <xsd:element ref="ns4:LegacyMetadata" minOccurs="0"/>
                <xsd:element ref="ns4:OTCreatedBy" minOccurs="0"/>
                <xsd:element ref="ns3:PraText3" minOccurs="0"/>
                <xsd:element ref="ns3:PraText4" minOccurs="0"/>
                <xsd:element ref="ns3:PraText5" minOccurs="0"/>
                <xsd:element ref="ns3:PraDate1" minOccurs="0"/>
                <xsd:element ref="ns3:PraDate2" minOccurs="0"/>
                <xsd:element ref="ns3:PraDate3" minOccurs="0"/>
                <xsd:element ref="ns3:PraDateTrigger" minOccurs="0"/>
                <xsd:element ref="ns3:PraDateDisposal" minOccurs="0"/>
                <xsd:element ref="ns5:Activity" minOccurs="0"/>
                <xsd:element ref="ns5:Function" minOccurs="0"/>
                <xsd:element ref="ns5:Subactivity" minOccurs="0"/>
                <xsd:element ref="ns5:Year" minOccurs="0"/>
                <xsd:element ref="ns5:Project" minOccurs="0"/>
                <xsd:element ref="ns5:AggregationNarrative" minOccurs="0"/>
                <xsd:element ref="ns5:Case" minOccurs="0"/>
                <xsd:element ref="ns5:CategoryName" minOccurs="0"/>
                <xsd:element ref="ns5:CategoryValue" minOccurs="0"/>
                <xsd:element ref="ns5:Category" minOccurs="0"/>
                <xsd:element ref="ns3:PraText1" minOccurs="0"/>
                <xsd:element ref="ns3:PraText2" minOccurs="0"/>
                <xsd:element ref="ns5:PRAType" minOccurs="0"/>
                <xsd:element ref="ns3:AggregationStatus" minOccurs="0"/>
                <xsd:element ref="ns6:MediaServiceMetadata" minOccurs="0"/>
                <xsd:element ref="ns6:MediaServiceFastMetadata" minOccurs="0"/>
                <xsd:element ref="ns6:MediaServiceAutoKeyPoints" minOccurs="0"/>
                <xsd:element ref="ns6:MediaServiceKeyPoints" minOccurs="0"/>
                <xsd:element ref="ns6:MediaServiceAutoTags" minOccurs="0"/>
                <xsd:element ref="ns6:MediaServiceOCR" minOccurs="0"/>
                <xsd:element ref="ns6:MediaServiceGenerationTime" minOccurs="0"/>
                <xsd:element ref="ns6:MediaServiceEventHashCode" minOccurs="0"/>
                <xsd:element ref="ns6:MediaServiceDateTaken" minOccurs="0"/>
                <xsd:element ref="ns6:MediaServiceLocation" minOccurs="0"/>
                <xsd:element ref="ns7:SharedWithUsers" minOccurs="0"/>
                <xsd:element ref="ns7:SharedWithDetails" minOccurs="0"/>
                <xsd:element ref="ns7:_dlc_DocId" minOccurs="0"/>
                <xsd:element ref="ns7:_dlc_DocIdUrl" minOccurs="0"/>
                <xsd:element ref="ns7: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bffcbe-7cf8-467d-a91b-a3e0dbcae01e" elementFormDefault="qualified">
    <xsd:import namespace="http://schemas.microsoft.com/office/2006/documentManagement/types"/>
    <xsd:import namespace="http://schemas.microsoft.com/office/infopath/2007/PartnerControls"/>
    <xsd:element name="DocumentType" ma:index="8" nillable="true" ma:displayName="Document Type" ma:description="Specify the document type to help refine search and to classify the document" ma:format="Dropdown" ma:internalName="DocumentType" ma:readOnly="false">
      <xsd:simpleType>
        <xsd:restriction base="dms:Choice">
          <xsd:enumeration value="APPLICATION, certificate, consent related"/>
          <xsd:enumeration value="CONTRACT, Variation, Agreement"/>
          <xsd:enumeration value="CORRESPONDENCE, Memo, Filenote, Email"/>
          <xsd:enumeration value="DRAWING, Plan, Map"/>
          <xsd:enumeration value="EMPLOYMENT related"/>
          <xsd:enumeration value="FINANCIAL related"/>
          <xsd:enumeration value="KNOWLEDGE article"/>
          <xsd:enumeration value="MEETING related"/>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schema>
  <xsd:schema xmlns:xsd="http://www.w3.org/2001/XMLSchema" xmlns:xs="http://www.w3.org/2001/XMLSchema" xmlns:dms="http://schemas.microsoft.com/office/2006/documentManagement/types" xmlns:pc="http://schemas.microsoft.com/office/infopath/2007/PartnerControls" targetNamespace="a9df0e0e-9b5b-47bc-81c1-d190dfb54f87" elementFormDefault="qualified">
    <xsd:import namespace="http://schemas.microsoft.com/office/2006/documentManagement/types"/>
    <xsd:import namespace="http://schemas.microsoft.com/office/infopath/2007/PartnerControls"/>
    <xsd:element name="Narrative" ma:index="9" nillable="true" ma:displayName="Narrative" ma:internalName="Narrative0" ma:readOnly="false">
      <xsd:simpleType>
        <xsd:restriction base="dms:Note">
          <xsd:maxLength value="255"/>
        </xsd:restriction>
      </xsd:simpleType>
    </xsd:element>
    <xsd:element name="PraText3" ma:index="14" nillable="true" ma:displayName="PRA Text 3" ma:hidden="true" ma:internalName="PraText30" ma:readOnly="false">
      <xsd:simpleType>
        <xsd:restriction base="dms:Text">
          <xsd:maxLength value="255"/>
        </xsd:restriction>
      </xsd:simpleType>
    </xsd:element>
    <xsd:element name="PraText4" ma:index="15" nillable="true" ma:displayName="PRA Text 4" ma:hidden="true" ma:internalName="PraText40" ma:readOnly="false">
      <xsd:simpleType>
        <xsd:restriction base="dms:Text">
          <xsd:maxLength value="255"/>
        </xsd:restriction>
      </xsd:simpleType>
    </xsd:element>
    <xsd:element name="PraText5" ma:index="16" nillable="true" ma:displayName="PRA Text 5" ma:hidden="true" ma:internalName="PraText50" ma:readOnly="false">
      <xsd:simpleType>
        <xsd:restriction base="dms:Text">
          <xsd:maxLength value="255"/>
        </xsd:restriction>
      </xsd:simpleType>
    </xsd:element>
    <xsd:element name="PraDate1" ma:index="17" nillable="true" ma:displayName="PRA Date 1" ma:format="DateTime" ma:hidden="true" ma:internalName="PraDate1" ma:readOnly="false">
      <xsd:simpleType>
        <xsd:restriction base="dms:DateTime"/>
      </xsd:simpleType>
    </xsd:element>
    <xsd:element name="PraDate2" ma:index="18" nillable="true" ma:displayName="PRA Date 2" ma:format="DateTime" ma:hidden="true" ma:internalName="PraDate2" ma:readOnly="false">
      <xsd:simpleType>
        <xsd:restriction base="dms:DateTime"/>
      </xsd:simpleType>
    </xsd:element>
    <xsd:element name="PraDate3" ma:index="19" nillable="true" ma:displayName="PRA Date 3" ma:format="DateTime" ma:hidden="true" ma:internalName="PraDate3" ma:readOnly="false">
      <xsd:simpleType>
        <xsd:restriction base="dms:DateTime"/>
      </xsd:simpleType>
    </xsd:element>
    <xsd:element name="PraDateTrigger" ma:index="20" nillable="true" ma:displayName="PRA Date Trigger" ma:format="DateTime" ma:hidden="true" ma:internalName="PraDateTrigger" ma:readOnly="false">
      <xsd:simpleType>
        <xsd:restriction base="dms:DateTime"/>
      </xsd:simpleType>
    </xsd:element>
    <xsd:element name="PraDateDisposal" ma:index="21" nillable="true" ma:displayName="PRA Date Disposal" ma:format="DateTime" ma:hidden="true" ma:internalName="PraDateDisposal0" ma:readOnly="false">
      <xsd:simpleType>
        <xsd:restriction base="dms:DateTime"/>
      </xsd:simpleType>
    </xsd:element>
    <xsd:element name="PraText1" ma:index="32" nillable="true" ma:displayName="PRA Text 1" ma:hidden="true" ma:internalName="PraText10" ma:readOnly="false">
      <xsd:simpleType>
        <xsd:restriction base="dms:Text">
          <xsd:maxLength value="255"/>
        </xsd:restriction>
      </xsd:simpleType>
    </xsd:element>
    <xsd:element name="PraText2" ma:index="33" nillable="true" ma:displayName="PRA Text 2" ma:hidden="true" ma:internalName="PraText20" ma:readOnly="false">
      <xsd:simpleType>
        <xsd:restriction base="dms:Text">
          <xsd:maxLength value="255"/>
        </xsd:restriction>
      </xsd:simpleType>
    </xsd:element>
    <xsd:element name="AggregationStatus" ma:index="35" nillable="true" ma:displayName="Aggregation Status" ma:default="Normal" ma:format="Dropdown" ma:hidden="true" ma:internalName="AggregationStatus0" ma:readOnly="false">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restriction>
      </xsd:simpleType>
    </xsd:element>
  </xsd:schema>
  <xsd:schema xmlns:xsd="http://www.w3.org/2001/XMLSchema" xmlns:xs="http://www.w3.org/2001/XMLSchema" xmlns:dms="http://schemas.microsoft.com/office/2006/documentManagement/types" xmlns:pc="http://schemas.microsoft.com/office/infopath/2007/PartnerControls" targetNamespace="b30672e7-690a-4c93-a50a-a028bc8f475d" elementFormDefault="qualified">
    <xsd:import namespace="http://schemas.microsoft.com/office/2006/documentManagement/types"/>
    <xsd:import namespace="http://schemas.microsoft.com/office/infopath/2007/PartnerControls"/>
    <xsd:element name="OTDocID" ma:index="10" nillable="true" ma:displayName="OTDocID" ma:internalName="OTDocID" ma:readOnly="false">
      <xsd:simpleType>
        <xsd:restriction base="dms:Text">
          <xsd:maxLength value="255"/>
        </xsd:restriction>
      </xsd:simpleType>
    </xsd:element>
    <xsd:element name="OTModifiedBy" ma:index="11" nillable="true" ma:displayName="OTModifiedBy" ma:internalName="OTModifiedBy" ma:readOnly="false">
      <xsd:simpleType>
        <xsd:restriction base="dms:Text">
          <xsd:maxLength value="255"/>
        </xsd:restriction>
      </xsd:simpleType>
    </xsd:element>
    <xsd:element name="LegacyMetadata" ma:index="12" nillable="true" ma:displayName="LegacyMetadata" ma:internalName="LegacyMetadata">
      <xsd:simpleType>
        <xsd:restriction base="dms:Note"/>
      </xsd:simpleType>
    </xsd:element>
    <xsd:element name="OTCreatedBy" ma:index="13" nillable="true" ma:displayName="OTCreatedBy" ma:internalName="OTCreatedB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761194-623b-4751-a0da-29ad6551f95e" elementFormDefault="qualified">
    <xsd:import namespace="http://schemas.microsoft.com/office/2006/documentManagement/types"/>
    <xsd:import namespace="http://schemas.microsoft.com/office/infopath/2007/PartnerControls"/>
    <xsd:element name="Activity" ma:index="22" nillable="true" ma:displayName="Activity" ma:default="NA" ma:format="Dropdown" ma:hidden="true" ma:internalName="Activity" ma:readOnly="false">
      <xsd:simpleType>
        <xsd:union memberTypes="dms:Text">
          <xsd:simpleType>
            <xsd:restriction base="dms:Choice">
              <xsd:enumeration value="NA"/>
            </xsd:restriction>
          </xsd:simpleType>
        </xsd:union>
      </xsd:simpleType>
    </xsd:element>
    <xsd:element name="Function" ma:index="23" nillable="true" ma:displayName="Function" ma:default="NA" ma:format="Dropdown" ma:hidden="true" ma:internalName="Function" ma:readOnly="false">
      <xsd:simpleType>
        <xsd:union memberTypes="dms:Text">
          <xsd:simpleType>
            <xsd:restriction base="dms:Choice">
              <xsd:enumeration value="NA"/>
            </xsd:restriction>
          </xsd:simpleType>
        </xsd:union>
      </xsd:simpleType>
    </xsd:element>
    <xsd:element name="Subactivity" ma:index="24" nillable="true" ma:displayName="Subactivity" ma:default="NA" ma:format="Dropdown" ma:hidden="true" ma:internalName="Subactivity" ma:readOnly="false">
      <xsd:simpleType>
        <xsd:union memberTypes="dms:Text">
          <xsd:simpleType>
            <xsd:restriction base="dms:Choice">
              <xsd:enumeration value="NA"/>
            </xsd:restriction>
          </xsd:simpleType>
        </xsd:union>
      </xsd:simpleType>
    </xsd:element>
    <xsd:element name="Year" ma:index="25" nillable="true" ma:displayName="Year" ma:format="Dropdown" ma:hidden="true" ma:internalName="Year" ma:readOnly="false">
      <xsd:simpleType>
        <xsd:restriction base="dms:Choice">
          <xsd:enumeration value="2019"/>
          <xsd:enumeration value="2020"/>
          <xsd:enumeration value="2021"/>
          <xsd:enumeration value="2022"/>
          <xsd:enumeration value="2023"/>
        </xsd:restriction>
      </xsd:simpleType>
    </xsd:element>
    <xsd:element name="Project" ma:index="26" nillable="true" ma:displayName="Project" ma:hidden="true" ma:internalName="Project" ma:readOnly="false">
      <xsd:simpleType>
        <xsd:restriction base="dms:Text">
          <xsd:maxLength value="255"/>
        </xsd:restriction>
      </xsd:simpleType>
    </xsd:element>
    <xsd:element name="AggregationNarrative" ma:index="27" nillable="true" ma:displayName="Aggregation Narrative" ma:hidden="true" ma:internalName="AggregationNarrative" ma:readOnly="false">
      <xsd:simpleType>
        <xsd:restriction base="dms:Text">
          <xsd:maxLength value="255"/>
        </xsd:restriction>
      </xsd:simpleType>
    </xsd:element>
    <xsd:element name="Case" ma:index="28" nillable="true" ma:displayName="Case" ma:default="NA" ma:format="Dropdown" ma:hidden="true" ma:internalName="Case" ma:readOnly="false">
      <xsd:simpleType>
        <xsd:restriction base="dms:Choice">
          <xsd:enumeration value="NA"/>
        </xsd:restriction>
      </xsd:simpleType>
    </xsd:element>
    <xsd:element name="CategoryName" ma:index="29" nillable="true" ma:displayName="Category Name" ma:hidden="true" ma:internalName="CategoryName" ma:readOnly="false">
      <xsd:simpleType>
        <xsd:restriction base="dms:Text">
          <xsd:maxLength value="255"/>
        </xsd:restriction>
      </xsd:simpleType>
    </xsd:element>
    <xsd:element name="CategoryValue" ma:index="30" nillable="true" ma:displayName="Category Value" ma:hidden="true" ma:internalName="CategoryValue" ma:readOnly="false">
      <xsd:simpleType>
        <xsd:restriction base="dms:Text">
          <xsd:maxLength value="255"/>
        </xsd:restriction>
      </xsd:simpleType>
    </xsd:element>
    <xsd:element name="Category" ma:index="31" nillable="true" ma:displayName="Category" ma:hidden="true" ma:internalName="Category" ma:readOnly="false">
      <xsd:simpleType>
        <xsd:restriction base="dms:Text">
          <xsd:maxLength value="255"/>
        </xsd:restriction>
      </xsd:simpleType>
    </xsd:element>
    <xsd:element name="PRAType" ma:index="34" nillable="true" ma:displayName="PRA Type" ma:hidden="true" ma:internalName="PRATyp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56367e-ce34-417e-a8e6-b7249075f61b" elementFormDefault="qualified">
    <xsd:import namespace="http://schemas.microsoft.com/office/2006/documentManagement/types"/>
    <xsd:import namespace="http://schemas.microsoft.com/office/infopath/2007/PartnerControls"/>
    <xsd:element name="MediaServiceMetadata" ma:index="36" nillable="true" ma:displayName="MediaServiceMetadata" ma:hidden="true" ma:internalName="MediaServiceMetadata" ma:readOnly="true">
      <xsd:simpleType>
        <xsd:restriction base="dms:Note"/>
      </xsd:simpleType>
    </xsd:element>
    <xsd:element name="MediaServiceFastMetadata" ma:index="37" nillable="true" ma:displayName="MediaServiceFastMetadata" ma:hidden="true" ma:internalName="MediaServiceFastMetadata" ma:readOnly="true">
      <xsd:simpleType>
        <xsd:restriction base="dms:Note"/>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GenerationTime" ma:index="42" nillable="true" ma:displayName="MediaServiceGenerationTime" ma:hidden="true" ma:internalName="MediaServiceGenerationTime" ma:readOnly="true">
      <xsd:simpleType>
        <xsd:restriction base="dms:Text"/>
      </xsd:simpleType>
    </xsd:element>
    <xsd:element name="MediaServiceEventHashCode" ma:index="43" nillable="true" ma:displayName="MediaServiceEventHashCode" ma:hidden="true" ma:internalName="MediaServiceEventHashCode" ma:readOnly="true">
      <xsd:simpleType>
        <xsd:restriction base="dms:Text"/>
      </xsd:simpleType>
    </xsd:element>
    <xsd:element name="MediaServiceDateTaken" ma:index="44" nillable="true" ma:displayName="MediaServiceDateTaken" ma:hidden="true" ma:internalName="MediaServiceDateTaken" ma:readOnly="true">
      <xsd:simpleType>
        <xsd:restriction base="dms:Text"/>
      </xsd:simpleType>
    </xsd:element>
    <xsd:element name="MediaServiceLocation" ma:index="4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c2416a-018c-4aca-921f-c4fcbb050b8b" elementFormDefault="qualified">
    <xsd:import namespace="http://schemas.microsoft.com/office/2006/documentManagement/types"/>
    <xsd:import namespace="http://schemas.microsoft.com/office/infopath/2007/PartnerControls"/>
    <xsd:element name="SharedWithUsers" ma:index="4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7" nillable="true" ma:displayName="Shared With Details" ma:internalName="SharedWithDetails" ma:readOnly="true">
      <xsd:simpleType>
        <xsd:restriction base="dms:Note">
          <xsd:maxLength value="255"/>
        </xsd:restriction>
      </xsd:simpleType>
    </xsd:element>
    <xsd:element name="_dlc_DocId" ma:index="48" nillable="true" ma:displayName="Document ID Value" ma:description="The value of the document ID assigned to this item." ma:internalName="_dlc_DocId" ma:readOnly="true">
      <xsd:simpleType>
        <xsd:restriction base="dms:Text"/>
      </xsd:simpleType>
    </xsd:element>
    <xsd:element name="_dlc_DocIdUrl" ma:index="4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ctivity xmlns="70761194-623b-4751-a0da-29ad6551f95e">NA</Activity>
    <Subactivity xmlns="70761194-623b-4751-a0da-29ad6551f95e">NA</Subactivity>
    <Function xmlns="70761194-623b-4751-a0da-29ad6551f95e">NA</Function>
    <Case xmlns="70761194-623b-4751-a0da-29ad6551f95e">NA</Case>
    <AggregationStatus xmlns="a9df0e0e-9b5b-47bc-81c1-d190dfb54f87">Normal</AggregationStatus>
    <LegacyMetadata xmlns="b30672e7-690a-4c93-a50a-a028bc8f475d" xsi:nil="true"/>
    <OTModifiedBy xmlns="b30672e7-690a-4c93-a50a-a028bc8f475d" xsi:nil="true"/>
    <PraText1 xmlns="a9df0e0e-9b5b-47bc-81c1-d190dfb54f87" xsi:nil="true"/>
    <Year xmlns="70761194-623b-4751-a0da-29ad6551f95e" xsi:nil="true"/>
    <CategoryName xmlns="70761194-623b-4751-a0da-29ad6551f95e" xsi:nil="true"/>
    <CategoryValue xmlns="70761194-623b-4751-a0da-29ad6551f95e" xsi:nil="true"/>
    <Narrative xmlns="a9df0e0e-9b5b-47bc-81c1-d190dfb54f87" xsi:nil="true"/>
    <PraText5 xmlns="a9df0e0e-9b5b-47bc-81c1-d190dfb54f87" xsi:nil="true"/>
    <PRAType xmlns="70761194-623b-4751-a0da-29ad6551f95e" xsi:nil="true"/>
    <PraDate3 xmlns="a9df0e0e-9b5b-47bc-81c1-d190dfb54f87" xsi:nil="true"/>
    <PraDateTrigger xmlns="a9df0e0e-9b5b-47bc-81c1-d190dfb54f87" xsi:nil="true"/>
    <Project xmlns="70761194-623b-4751-a0da-29ad6551f95e" xsi:nil="true"/>
    <PraText4 xmlns="a9df0e0e-9b5b-47bc-81c1-d190dfb54f87" xsi:nil="true"/>
    <PraDateDisposal xmlns="a9df0e0e-9b5b-47bc-81c1-d190dfb54f87" xsi:nil="true"/>
    <PraDate2 xmlns="a9df0e0e-9b5b-47bc-81c1-d190dfb54f87" xsi:nil="true"/>
    <Category xmlns="70761194-623b-4751-a0da-29ad6551f95e" xsi:nil="true"/>
    <PraText3 xmlns="a9df0e0e-9b5b-47bc-81c1-d190dfb54f87" xsi:nil="true"/>
    <DocumentType xmlns="02bffcbe-7cf8-467d-a91b-a3e0dbcae01e" xsi:nil="true"/>
    <AggregationNarrative xmlns="70761194-623b-4751-a0da-29ad6551f95e" xsi:nil="true"/>
    <OTDocID xmlns="b30672e7-690a-4c93-a50a-a028bc8f475d" xsi:nil="true"/>
    <OTCreatedBy xmlns="b30672e7-690a-4c93-a50a-a028bc8f475d" xsi:nil="true"/>
    <PraDate1 xmlns="a9df0e0e-9b5b-47bc-81c1-d190dfb54f87" xsi:nil="true"/>
    <PraText2 xmlns="a9df0e0e-9b5b-47bc-81c1-d190dfb54f87" xsi:nil="true"/>
    <_dlc_DocId xmlns="17c2416a-018c-4aca-921f-c4fcbb050b8b">VAA5JQRTXU26-1061827567-1663</_dlc_DocId>
    <_dlc_DocIdUrl xmlns="17c2416a-018c-4aca-921f-c4fcbb050b8b">
      <Url>https://climatechangegovt.sharepoint.com/sites/Interim/_layouts/15/DocIdRedir.aspx?ID=VAA5JQRTXU26-1061827567-1663</Url>
      <Description>VAA5JQRTXU26-1061827567-1663</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20C481F-2D5A-4CEC-978E-10EE3F756DB8}"/>
</file>

<file path=customXml/itemProps2.xml><?xml version="1.0" encoding="utf-8"?>
<ds:datastoreItem xmlns:ds="http://schemas.openxmlformats.org/officeDocument/2006/customXml" ds:itemID="{4EAB1702-91AF-49F8-BC85-7B03560C28FA}"/>
</file>

<file path=customXml/itemProps3.xml><?xml version="1.0" encoding="utf-8"?>
<ds:datastoreItem xmlns:ds="http://schemas.openxmlformats.org/officeDocument/2006/customXml" ds:itemID="{015CA729-E6C2-4DBA-AE10-5E67F6971360}"/>
</file>

<file path=customXml/itemProps4.xml><?xml version="1.0" encoding="utf-8"?>
<ds:datastoreItem xmlns:ds="http://schemas.openxmlformats.org/officeDocument/2006/customXml" ds:itemID="{A4FEC10D-EB7E-4180-B1D4-ED2CBE8F6719}"/>
</file>

<file path=docProps/app.xml><?xml version="1.0" encoding="utf-8"?>
<Properties xmlns="http://schemas.openxmlformats.org/officeDocument/2006/extended-properties" xmlns:vt="http://schemas.openxmlformats.org/officeDocument/2006/docPropsVTypes">
  <Template>Normal</Template>
  <TotalTime>1</TotalTime>
  <Pages>14</Pages>
  <Words>4911</Words>
  <Characters>27996</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University of Otago</Company>
  <LinksUpToDate>false</LinksUpToDate>
  <CharactersWithSpaces>32842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Viggers</dc:creator>
  <cp:keywords/>
  <dc:description/>
  <cp:lastModifiedBy>Tanya Allen</cp:lastModifiedBy>
  <cp:revision>2</cp:revision>
  <dcterms:created xsi:type="dcterms:W3CDTF">2020-02-18T23:06:00Z</dcterms:created>
  <dcterms:modified xsi:type="dcterms:W3CDTF">2020-02-18T23:06:00Z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0x0101004EF0C6779F4B694981239F43C9D1BFB900629FBB9320A9D0448047082C81343564</vt:lpwstr>
  </property>
  <property fmtid="{D5CDD505-2E9C-101B-9397-08002B2CF9AE}" pid="3" name="_dlc_DocIdItemGuid">
    <vt:lpwstr>46f91fbd-a622-4013-8160-f04c737b3729</vt:lpwstr>
  </property>
</Properties>
</file>